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1DC886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亳蒙高速一期管理区安全整治工程土方采购项目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AHTKJS-2026-006号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2026年3</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亳蒙高速一期管理区安全整治工程土方采购项目</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791F048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亳蒙高速一期管理区安全整治工程土方采购项目</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AHTKJS-2026-006号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26D9F1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eastAsiaTheme="minorEastAsia" w:cstheme="minorEastAsia"/>
          <w:color w:val="FF0000"/>
          <w:kern w:val="2"/>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50元/m³</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供应商根据附件采购清单按</w:t>
      </w:r>
      <w:permStart w:id="8" w:edGrp="everyone"/>
      <w:r>
        <w:rPr>
          <w:rFonts w:hint="eastAsia" w:asciiTheme="minorEastAsia" w:hAnsiTheme="minorEastAsia" w:eastAsiaTheme="minorEastAsia" w:cstheme="minorEastAsia"/>
          <w:color w:val="FF0000"/>
          <w:kern w:val="2"/>
          <w:sz w:val="28"/>
          <w:szCs w:val="28"/>
          <w:highlight w:val="none"/>
          <w:lang w:val="en-US" w:eastAsia="zh-CN"/>
        </w:rPr>
        <w:t>固定单价</w:t>
      </w:r>
      <w:permEnd w:id="8"/>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2BD865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kern w:val="2"/>
          <w:sz w:val="28"/>
          <w:szCs w:val="28"/>
          <w:highlight w:val="none"/>
          <w:lang w:val="en-US" w:eastAsia="zh-CN"/>
        </w:rPr>
        <w:t>本次采购</w:t>
      </w:r>
      <w:r>
        <w:rPr>
          <w:rFonts w:hint="eastAsia" w:asciiTheme="minorEastAsia" w:hAnsiTheme="minorEastAsia" w:cstheme="minorEastAsia"/>
          <w:kern w:val="2"/>
          <w:sz w:val="28"/>
          <w:szCs w:val="28"/>
          <w:highlight w:val="none"/>
          <w:lang w:val="en-US" w:eastAsia="zh-CN"/>
        </w:rPr>
        <w:t>回填土</w:t>
      </w:r>
      <w:r>
        <w:rPr>
          <w:rFonts w:hint="eastAsia" w:asciiTheme="minorEastAsia" w:hAnsiTheme="minorEastAsia" w:eastAsiaTheme="minorEastAsia" w:cstheme="minorEastAsia"/>
          <w:kern w:val="2"/>
          <w:sz w:val="28"/>
          <w:szCs w:val="28"/>
          <w:highlight w:val="none"/>
          <w:lang w:val="en-US" w:eastAsia="zh-CN"/>
        </w:rPr>
        <w:t>土方</w:t>
      </w:r>
      <w:r>
        <w:rPr>
          <w:rFonts w:hint="eastAsia" w:asciiTheme="minorEastAsia" w:hAnsi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暂定14000m³，具体以实际为准。供应商响应前请自行现场勘察了解情况，响应时我方认为供应商已充分了解工程概况。</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宋体" w:hAnsi="宋体" w:cs="宋体"/>
          <w:color w:val="auto"/>
          <w:kern w:val="2"/>
          <w:sz w:val="28"/>
          <w:szCs w:val="28"/>
          <w:highlight w:val="none"/>
          <w:lang w:val="en-US" w:eastAsia="zh-CN"/>
        </w:rPr>
        <w:t>供货期</w:t>
      </w:r>
      <w:r>
        <w:rPr>
          <w:rFonts w:hint="eastAsia" w:ascii="宋体" w:hAnsi="宋体" w:eastAsia="宋体" w:cs="宋体"/>
          <w:color w:val="auto"/>
          <w:kern w:val="2"/>
          <w:sz w:val="28"/>
          <w:szCs w:val="28"/>
          <w:highlight w:val="none"/>
          <w:lang w:val="en-US" w:eastAsia="zh-CN"/>
        </w:rPr>
        <w:t>：</w:t>
      </w:r>
      <w:r>
        <w:rPr>
          <w:rFonts w:hint="eastAsia" w:ascii="宋体" w:hAnsi="宋体" w:eastAsia="宋体" w:cs="宋体"/>
          <w:kern w:val="2"/>
          <w:sz w:val="28"/>
          <w:szCs w:val="28"/>
          <w:highlight w:val="none"/>
          <w:lang w:val="en-US" w:eastAsia="zh-CN"/>
        </w:rPr>
        <w:t>自合同签订之日起</w:t>
      </w:r>
      <w:r>
        <w:rPr>
          <w:rFonts w:hint="eastAsia" w:ascii="宋体" w:hAnsi="宋体" w:cs="宋体"/>
          <w:kern w:val="2"/>
          <w:sz w:val="28"/>
          <w:szCs w:val="28"/>
          <w:highlight w:val="none"/>
          <w:lang w:val="en-US" w:eastAsia="zh-CN"/>
        </w:rPr>
        <w:t>20日历天</w:t>
      </w:r>
      <w:r>
        <w:rPr>
          <w:rFonts w:hint="eastAsia" w:asciiTheme="minorEastAsia" w:hAnsiTheme="minorEastAsia" w:eastAsiaTheme="minorEastAsia" w:cstheme="minorEastAsia"/>
          <w:kern w:val="2"/>
          <w:sz w:val="28"/>
          <w:szCs w:val="28"/>
          <w:highlight w:val="none"/>
          <w:lang w:val="en-US" w:eastAsia="zh-CN"/>
        </w:rPr>
        <w:t>。</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宋体" w:hAnsi="宋体" w:eastAsia="宋体" w:cs="宋体"/>
          <w:color w:val="auto"/>
          <w:kern w:val="2"/>
          <w:sz w:val="28"/>
          <w:szCs w:val="28"/>
          <w:highlight w:val="none"/>
          <w:lang w:val="en-US" w:eastAsia="zh-CN"/>
        </w:rPr>
        <w:t>亳州市</w:t>
      </w:r>
      <w:r>
        <w:rPr>
          <w:rFonts w:hint="eastAsia" w:asciiTheme="minorEastAsia" w:hAnsiTheme="minorEastAsia" w:eastAsiaTheme="minorEastAsia" w:cstheme="minorEastAsia"/>
          <w:kern w:val="2"/>
          <w:sz w:val="28"/>
          <w:szCs w:val="28"/>
          <w:highlight w:val="none"/>
          <w:lang w:val="en-US" w:eastAsia="zh-CN"/>
        </w:rPr>
        <w:t>涡阳县标里镇程岳村</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EE5C9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具有独立法人资格，并在人员、设备、资金等方面具有承担本项目供货的能力。</w:t>
      </w:r>
    </w:p>
    <w:p w14:paraId="373E7A7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（二）资质要求：具有有效的道路运输经营许可证或城市建筑垃圾运输处置核准证。</w:t>
      </w:r>
    </w:p>
    <w:p w14:paraId="4B60B7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p>
    <w:p w14:paraId="60B7300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r>
        <w:rPr>
          <w:rFonts w:hint="eastAsia" w:asciiTheme="minorEastAsia" w:hAnsiTheme="minorEastAsia" w:eastAsiaTheme="minorEastAsia" w:cstheme="minorEastAsia"/>
          <w:kern w:val="2"/>
          <w:sz w:val="28"/>
          <w:szCs w:val="28"/>
          <w:highlight w:val="none"/>
          <w:u w:val="single"/>
          <w:lang w:val="en-US" w:eastAsia="zh-CN"/>
        </w:rPr>
        <w:t>2023</w:t>
      </w:r>
      <w:r>
        <w:rPr>
          <w:rFonts w:hint="eastAsia" w:asciiTheme="minorEastAsia" w:hAnsiTheme="minorEastAsia" w:eastAsiaTheme="minorEastAsia" w:cstheme="minorEastAsia"/>
          <w:kern w:val="2"/>
          <w:sz w:val="28"/>
          <w:szCs w:val="28"/>
          <w:highlight w:val="none"/>
          <w:lang w:val="en-US" w:eastAsia="zh-CN"/>
        </w:rPr>
        <w:t>年至今企业类似项目业绩</w:t>
      </w:r>
      <w:r>
        <w:rPr>
          <w:rFonts w:hint="eastAsia" w:asciiTheme="minorEastAsia" w:hAnsiTheme="minorEastAsia" w:eastAsiaTheme="minorEastAsia" w:cstheme="minorEastAsia"/>
          <w:kern w:val="2"/>
          <w:sz w:val="28"/>
          <w:szCs w:val="28"/>
          <w:highlight w:val="none"/>
          <w:u w:val="single"/>
          <w:lang w:val="en-US" w:eastAsia="zh-CN"/>
        </w:rPr>
        <w:t>1</w:t>
      </w:r>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3" w:edGrp="everyone"/>
      <w:r>
        <w:rPr>
          <w:rFonts w:hint="eastAsia" w:asciiTheme="minorEastAsia" w:hAnsiTheme="minorEastAsia" w:eastAsiaTheme="minorEastAsia" w:cstheme="minorEastAsia"/>
          <w:kern w:val="2"/>
          <w:sz w:val="28"/>
          <w:szCs w:val="28"/>
          <w:highlight w:val="none"/>
          <w:lang w:val="en-US" w:eastAsia="zh-CN"/>
        </w:rPr>
        <w:t>合同签订时间</w:t>
      </w:r>
      <w:permEnd w:id="13"/>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：合同金额不低于</w:t>
      </w:r>
      <w:r>
        <w:rPr>
          <w:rFonts w:hint="eastAsia" w:asciiTheme="minorEastAsia" w:hAnsiTheme="minorEastAsia" w:eastAsiaTheme="minorEastAsia" w:cstheme="minorEastAsia"/>
          <w:sz w:val="28"/>
          <w:szCs w:val="28"/>
          <w:highlight w:val="none"/>
          <w:u w:val="single"/>
          <w:lang w:val="en-US" w:eastAsia="zh-CN"/>
        </w:rPr>
        <w:t>50</w:t>
      </w:r>
      <w:r>
        <w:rPr>
          <w:rFonts w:hint="eastAsia" w:asciiTheme="minorEastAsia" w:hAnsiTheme="minorEastAsia" w:eastAsiaTheme="minorEastAsia" w:cstheme="minorEastAsia"/>
          <w:sz w:val="28"/>
          <w:szCs w:val="28"/>
          <w:highlight w:val="none"/>
          <w:lang w:val="en-US" w:eastAsia="zh-CN"/>
        </w:rPr>
        <w:t>万元的土方供应业绩。</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559" w:leftChars="266" w:firstLine="0" w:firstLineChars="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6"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3</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12</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6"/>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14000.00元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王经理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3</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14000元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AHTKJS-2026-006号保证金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亳蒙高速一期管理区安全整治工程土方采购项目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项目编号：AHTKJS-2026-006号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17" w:name="_GoBack"/>
            <w:bookmarkEnd w:id="317"/>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152045532"/>
      <w:bookmarkStart w:id="2" w:name="_Toc152042308"/>
      <w:bookmarkStart w:id="3" w:name="_Toc247085692"/>
      <w:bookmarkStart w:id="4" w:name="_Toc296602423"/>
      <w:bookmarkStart w:id="5" w:name="_Toc179632549"/>
      <w:bookmarkStart w:id="6" w:name="_Toc144974500"/>
      <w:bookmarkStart w:id="7" w:name="_Toc24699617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144974504"/>
      <w:bookmarkStart w:id="10" w:name="_Toc296602426"/>
      <w:bookmarkStart w:id="11" w:name="_Toc152045536"/>
      <w:bookmarkStart w:id="12" w:name="_Toc246996924"/>
      <w:bookmarkStart w:id="13" w:name="_Toc179632553"/>
      <w:bookmarkStart w:id="14" w:name="_Toc247085695"/>
      <w:bookmarkStart w:id="15" w:name="_Toc152042312"/>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925"/>
      <w:bookmarkStart w:id="18" w:name="_Toc247085696"/>
      <w:bookmarkStart w:id="19" w:name="_Toc152045537"/>
      <w:bookmarkStart w:id="20" w:name="_Toc179632554"/>
      <w:bookmarkStart w:id="21" w:name="_Toc296602427"/>
      <w:bookmarkStart w:id="22" w:name="_Toc246996182"/>
      <w:bookmarkStart w:id="23" w:name="_Toc152042313"/>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152045538"/>
      <w:bookmarkStart w:id="26" w:name="_Toc144974506"/>
      <w:bookmarkStart w:id="27" w:name="_Toc246996926"/>
      <w:bookmarkStart w:id="28" w:name="_Toc179632555"/>
      <w:bookmarkStart w:id="29" w:name="_Toc247085697"/>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179632560"/>
      <w:bookmarkStart w:id="33" w:name="_Toc246996930"/>
      <w:bookmarkStart w:id="34" w:name="_Toc246996187"/>
      <w:bookmarkStart w:id="35" w:name="_Toc247085701"/>
      <w:bookmarkStart w:id="36" w:name="_Toc152042318"/>
      <w:bookmarkStart w:id="37" w:name="_Toc296602432"/>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246996188"/>
      <w:bookmarkStart w:id="41" w:name="_Toc152045543"/>
      <w:bookmarkStart w:id="42" w:name="_Toc179632561"/>
      <w:bookmarkStart w:id="43" w:name="_Toc246996931"/>
      <w:bookmarkStart w:id="44" w:name="_Toc144974511"/>
      <w:bookmarkStart w:id="45" w:name="_Toc296602433"/>
      <w:bookmarkStart w:id="46" w:name="_Toc247085702"/>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247085703"/>
      <w:bookmarkStart w:id="49" w:name="_Toc296602434"/>
      <w:bookmarkStart w:id="50" w:name="_Toc144974512"/>
      <w:bookmarkStart w:id="51" w:name="_Toc246996189"/>
      <w:bookmarkStart w:id="52" w:name="_Toc152045544"/>
      <w:bookmarkStart w:id="53" w:name="_Toc179632562"/>
      <w:bookmarkStart w:id="54" w:name="_Toc24699693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7085704"/>
      <w:bookmarkStart w:id="56" w:name="_Toc152042321"/>
      <w:bookmarkStart w:id="57" w:name="_Toc246996933"/>
      <w:bookmarkStart w:id="58" w:name="_Toc246996190"/>
      <w:bookmarkStart w:id="59" w:name="_Toc296602435"/>
      <w:bookmarkStart w:id="60" w:name="_Toc144974513"/>
      <w:bookmarkStart w:id="61" w:name="_Toc152045545"/>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7085705"/>
      <w:bookmarkStart w:id="64" w:name="_Toc144974514"/>
      <w:bookmarkStart w:id="65" w:name="_Toc179632564"/>
      <w:bookmarkStart w:id="66" w:name="_Toc246996191"/>
      <w:bookmarkStart w:id="67" w:name="_Toc152042322"/>
      <w:bookmarkStart w:id="68" w:name="_Toc296602436"/>
      <w:bookmarkStart w:id="69" w:name="_Toc152045546"/>
      <w:bookmarkStart w:id="70" w:name="_Toc24699693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179632565"/>
      <w:bookmarkStart w:id="73" w:name="_Toc296602437"/>
      <w:bookmarkStart w:id="74" w:name="_Toc246996192"/>
      <w:bookmarkStart w:id="75" w:name="_Toc144974515"/>
      <w:bookmarkStart w:id="76" w:name="_Toc152042323"/>
      <w:bookmarkStart w:id="77" w:name="_Toc246996935"/>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152042324"/>
      <w:bookmarkStart w:id="81" w:name="_Toc144974516"/>
      <w:bookmarkStart w:id="82" w:name="_Toc179632566"/>
      <w:bookmarkStart w:id="83" w:name="_Toc246996936"/>
      <w:bookmarkStart w:id="84" w:name="_Toc247085707"/>
      <w:bookmarkStart w:id="85" w:name="_Toc246996193"/>
      <w:bookmarkStart w:id="86" w:name="_Toc15204554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44974517"/>
      <w:bookmarkStart w:id="89" w:name="_Toc152042325"/>
      <w:bookmarkStart w:id="90"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179632573"/>
      <w:bookmarkStart w:id="97" w:name="_Toc247085713"/>
      <w:bookmarkStart w:id="98" w:name="_Toc144974523"/>
      <w:bookmarkStart w:id="99" w:name="_Toc152045555"/>
      <w:bookmarkStart w:id="100" w:name="_Toc296602443"/>
      <w:bookmarkStart w:id="101" w:name="_Toc152042331"/>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246996200"/>
      <w:bookmarkStart w:id="105" w:name="_Toc144974524"/>
      <w:bookmarkStart w:id="106" w:name="_Toc152042332"/>
      <w:bookmarkStart w:id="107" w:name="_Toc296602444"/>
      <w:bookmarkStart w:id="108" w:name="_Toc179632574"/>
      <w:bookmarkStart w:id="109" w:name="_Toc247085714"/>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44974525"/>
      <w:bookmarkStart w:id="113" w:name="_Toc246996944"/>
      <w:bookmarkStart w:id="114" w:name="_Toc247085715"/>
      <w:bookmarkStart w:id="115" w:name="_Toc152045557"/>
      <w:bookmarkStart w:id="116" w:name="_Toc152042333"/>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945"/>
      <w:bookmarkStart w:id="119" w:name="_Toc144974526"/>
      <w:bookmarkStart w:id="120" w:name="_Toc152042334"/>
      <w:bookmarkStart w:id="121" w:name="_Toc179632576"/>
      <w:bookmarkStart w:id="122" w:name="_Toc246996202"/>
      <w:bookmarkStart w:id="123" w:name="_Toc247085716"/>
      <w:bookmarkStart w:id="124" w:name="_Toc152045558"/>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246996946"/>
      <w:bookmarkStart w:id="128" w:name="_Toc246996203"/>
      <w:bookmarkStart w:id="129" w:name="_Toc152042335"/>
      <w:bookmarkStart w:id="130" w:name="_Toc296602447"/>
      <w:bookmarkStart w:id="131" w:name="_Toc179632577"/>
      <w:bookmarkStart w:id="132" w:name="_Toc144974527"/>
      <w:bookmarkStart w:id="133" w:name="_Toc152045559"/>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4"/>
      <w:bookmarkStart w:id="135" w:name="_Toc152042336"/>
      <w:bookmarkStart w:id="136" w:name="_Toc296602448"/>
      <w:bookmarkStart w:id="137" w:name="_Toc246996947"/>
      <w:bookmarkStart w:id="138" w:name="_Toc179632578"/>
      <w:bookmarkStart w:id="139" w:name="_Toc152045560"/>
      <w:bookmarkStart w:id="140" w:name="_Toc14497452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205"/>
      <w:bookmarkStart w:id="143" w:name="_Toc144974529"/>
      <w:bookmarkStart w:id="144" w:name="_Toc246996948"/>
      <w:bookmarkStart w:id="145" w:name="_Toc296602449"/>
      <w:bookmarkStart w:id="146" w:name="_Toc152042337"/>
      <w:bookmarkStart w:id="147" w:name="_Toc152045561"/>
      <w:bookmarkStart w:id="148" w:name="_Toc179632579"/>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3"/>
      <w:bookmarkStart w:id="151" w:name="_Toc144974531"/>
      <w:bookmarkStart w:id="152" w:name="_Toc246996950"/>
      <w:bookmarkStart w:id="153" w:name="_Toc247085721"/>
      <w:bookmarkStart w:id="154" w:name="_Toc296602452"/>
      <w:bookmarkStart w:id="155" w:name="_Toc179632581"/>
      <w:bookmarkStart w:id="156" w:name="_Toc246996207"/>
      <w:bookmarkStart w:id="157" w:name="_Toc152042339"/>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296602455"/>
      <w:bookmarkStart w:id="160" w:name="_Toc152045566"/>
      <w:bookmarkStart w:id="161" w:name="_Toc152042342"/>
      <w:bookmarkStart w:id="162" w:name="_Toc246996210"/>
      <w:bookmarkStart w:id="163" w:name="_Toc246996953"/>
      <w:bookmarkStart w:id="164" w:name="_Toc247085724"/>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6"/>
      <w:bookmarkStart w:id="167" w:name="_Toc152045567"/>
      <w:bookmarkStart w:id="168" w:name="_Toc247085725"/>
      <w:bookmarkStart w:id="169" w:name="_Toc152042343"/>
      <w:bookmarkStart w:id="170" w:name="_Toc246996954"/>
      <w:bookmarkStart w:id="171" w:name="_Toc246996211"/>
      <w:bookmarkStart w:id="172" w:name="_Toc144974535"/>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144974536"/>
      <w:bookmarkStart w:id="177" w:name="_Toc247085726"/>
      <w:bookmarkStart w:id="178" w:name="_Toc246996955"/>
      <w:bookmarkStart w:id="179" w:name="_Toc152045568"/>
      <w:bookmarkStart w:id="180" w:name="_Toc246996212"/>
      <w:bookmarkStart w:id="181" w:name="_Toc296602458"/>
      <w:bookmarkStart w:id="182" w:name="_Toc152042344"/>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956"/>
      <w:bookmarkStart w:id="184" w:name="_Toc144974537"/>
      <w:bookmarkStart w:id="185" w:name="_Toc152045569"/>
      <w:bookmarkStart w:id="186" w:name="_Toc246996213"/>
      <w:bookmarkStart w:id="187" w:name="_Toc296602459"/>
      <w:bookmarkStart w:id="188" w:name="_Toc152042345"/>
      <w:bookmarkStart w:id="189" w:name="_Toc247085727"/>
      <w:bookmarkStart w:id="190" w:name="_Toc17963258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47085733"/>
      <w:bookmarkStart w:id="194" w:name="_Toc296602462"/>
      <w:bookmarkStart w:id="195" w:name="_Toc144974543"/>
      <w:bookmarkStart w:id="196" w:name="_Toc246996962"/>
      <w:bookmarkStart w:id="197" w:name="_Toc296590983"/>
      <w:bookmarkStart w:id="198" w:name="_Toc179632593"/>
      <w:bookmarkStart w:id="199" w:name="_Toc152045575"/>
      <w:bookmarkStart w:id="200" w:name="_Toc246996219"/>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6996220"/>
      <w:bookmarkStart w:id="202" w:name="_Toc152045576"/>
      <w:bookmarkStart w:id="203" w:name="_Toc296602463"/>
      <w:bookmarkStart w:id="204" w:name="_Toc179632594"/>
      <w:bookmarkStart w:id="205" w:name="_Toc246996963"/>
      <w:bookmarkStart w:id="206" w:name="_Toc152042352"/>
      <w:bookmarkStart w:id="207" w:name="_Toc247085734"/>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246996964"/>
      <w:bookmarkStart w:id="211" w:name="_Toc246996221"/>
      <w:bookmarkStart w:id="212" w:name="_Toc152042353"/>
      <w:bookmarkStart w:id="213" w:name="_Toc144974545"/>
      <w:bookmarkStart w:id="214" w:name="_Toc152045577"/>
      <w:bookmarkStart w:id="215" w:name="_Toc179632595"/>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96602477"/>
            <w:bookmarkStart w:id="218" w:name="_Toc144974556"/>
            <w:bookmarkStart w:id="219" w:name="_Toc246996975"/>
            <w:bookmarkStart w:id="220" w:name="_Toc247085747"/>
            <w:bookmarkStart w:id="221" w:name="_Toc179632607"/>
            <w:bookmarkStart w:id="222" w:name="_Toc246996232"/>
            <w:bookmarkStart w:id="223" w:name="_Toc152042366"/>
            <w:bookmarkStart w:id="224" w:name="_Toc152045589"/>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2370"/>
      <w:bookmarkStart w:id="226" w:name="_Toc296602481"/>
      <w:bookmarkStart w:id="227" w:name="_Toc247085751"/>
      <w:bookmarkStart w:id="228" w:name="_Toc246996236"/>
      <w:bookmarkStart w:id="229" w:name="_Toc144974560"/>
      <w:bookmarkStart w:id="230" w:name="_Toc246996979"/>
      <w:bookmarkStart w:id="231" w:name="_Toc152045593"/>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7085754"/>
      <w:bookmarkStart w:id="235" w:name="_Toc246996239"/>
      <w:bookmarkStart w:id="236" w:name="_Toc179632614"/>
      <w:bookmarkStart w:id="237" w:name="_Toc152042373"/>
      <w:bookmarkStart w:id="238" w:name="_Toc152045596"/>
      <w:bookmarkStart w:id="239" w:name="_Toc246996982"/>
      <w:bookmarkStart w:id="240"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1D361D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无预付款，根据成交人每月实际已供合格货物工程量，采购人次月向成交人支付上月实际已供合格货物价款的70%；交工验收完成后3个月内付至实际已供合格货物价款的100%。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tbl>
      <w:tblPr>
        <w:tblStyle w:val="16"/>
        <w:tblW w:w="87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0"/>
        <w:gridCol w:w="1588"/>
        <w:gridCol w:w="1102"/>
        <w:gridCol w:w="923"/>
        <w:gridCol w:w="1043"/>
        <w:gridCol w:w="960"/>
        <w:gridCol w:w="1104"/>
        <w:gridCol w:w="797"/>
      </w:tblGrid>
      <w:tr w14:paraId="1B010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717" w:type="dxa"/>
            <w:gridSpan w:val="8"/>
            <w:tcBorders>
              <w:top w:val="nil"/>
              <w:left w:val="nil"/>
              <w:bottom w:val="single" w:color="auto" w:sz="4" w:space="0"/>
              <w:right w:val="nil"/>
            </w:tcBorders>
            <w:shd w:val="clear" w:color="auto" w:fill="auto"/>
            <w:vAlign w:val="center"/>
          </w:tcPr>
          <w:p w14:paraId="3084FD96">
            <w:pPr>
              <w:keepNext w:val="0"/>
              <w:keepLines w:val="0"/>
              <w:widowControl/>
              <w:suppressLineNumbers w:val="0"/>
              <w:ind w:left="0" w:leftChars="0" w:firstLine="560" w:firstLineChars="200"/>
              <w:jc w:val="left"/>
              <w:textAlignment w:val="center"/>
              <w:rPr>
                <w:rFonts w:ascii="宋体" w:hAnsi="宋体" w:eastAsia="宋体" w:cs="宋体"/>
                <w:b/>
                <w:bCs/>
                <w:i w:val="0"/>
                <w:iCs w:val="0"/>
                <w:color w:val="000000"/>
                <w:sz w:val="32"/>
                <w:szCs w:val="32"/>
                <w:u w:val="none"/>
              </w:rPr>
            </w:pPr>
            <w:r>
              <w:rPr>
                <w:rFonts w:hint="eastAsia" w:asciiTheme="minorEastAsia" w:hAnsiTheme="minorEastAsia" w:eastAsiaTheme="minorEastAsia" w:cstheme="minorEastAsia"/>
                <w:kern w:val="2"/>
                <w:sz w:val="28"/>
                <w:szCs w:val="28"/>
                <w:highlight w:val="none"/>
                <w:lang w:val="en-US" w:eastAsia="zh-CN"/>
              </w:rPr>
              <w:t>1.采购清单</w:t>
            </w:r>
          </w:p>
        </w:tc>
      </w:tr>
      <w:tr w14:paraId="73607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8717" w:type="dxa"/>
            <w:gridSpan w:val="8"/>
            <w:tcBorders>
              <w:top w:val="single" w:color="auto" w:sz="4" w:space="0"/>
              <w:left w:val="single" w:color="auto" w:sz="4" w:space="0"/>
              <w:bottom w:val="single" w:color="auto" w:sz="4" w:space="0"/>
              <w:right w:val="single" w:color="auto" w:sz="4" w:space="0"/>
            </w:tcBorders>
            <w:shd w:val="clear" w:color="auto" w:fill="auto"/>
            <w:vAlign w:val="top"/>
          </w:tcPr>
          <w:p w14:paraId="093F12AB">
            <w:pPr>
              <w:ind w:left="0" w:leftChars="0" w:firstLine="0" w:firstLineChars="0"/>
              <w:rPr>
                <w:rFonts w:hint="eastAsia" w:ascii="Arial" w:hAnsi="Arial" w:cs="Arial"/>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项目名称：</w:t>
            </w:r>
            <w:r>
              <w:rPr>
                <w:rFonts w:hint="eastAsia" w:ascii="宋体" w:hAnsi="宋体" w:eastAsia="宋体" w:cs="宋体"/>
                <w:i w:val="0"/>
                <w:iCs w:val="0"/>
                <w:color w:val="000000"/>
                <w:kern w:val="0"/>
                <w:sz w:val="21"/>
                <w:szCs w:val="21"/>
                <w:u w:val="none"/>
                <w:lang w:val="en-US" w:eastAsia="zh-CN" w:bidi="ar"/>
              </w:rPr>
              <w:t>亳蒙高速一期管理区安全整治工程土方采购项目</w:t>
            </w:r>
          </w:p>
        </w:tc>
      </w:tr>
      <w:tr w14:paraId="28AE4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0E2F3B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序号</w:t>
            </w:r>
          </w:p>
        </w:tc>
        <w:tc>
          <w:tcPr>
            <w:tcW w:w="1588" w:type="dxa"/>
            <w:tcBorders>
              <w:top w:val="single" w:color="auto" w:sz="4" w:space="0"/>
              <w:left w:val="single" w:color="auto" w:sz="4" w:space="0"/>
              <w:bottom w:val="single" w:color="auto" w:sz="4" w:space="0"/>
              <w:right w:val="single" w:color="auto" w:sz="4" w:space="0"/>
            </w:tcBorders>
            <w:shd w:val="clear" w:color="auto" w:fill="auto"/>
            <w:vAlign w:val="center"/>
          </w:tcPr>
          <w:p w14:paraId="45E31A50">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采购名称</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30AC39D1">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ascii="宋体" w:hAnsi="宋体" w:eastAsia="宋体" w:cs="宋体"/>
                <w:b w:val="0"/>
                <w:bCs w:val="0"/>
                <w:i w:val="0"/>
                <w:iCs w:val="0"/>
                <w:color w:val="000000"/>
                <w:kern w:val="0"/>
                <w:sz w:val="21"/>
                <w:szCs w:val="21"/>
                <w:u w:val="none"/>
                <w:lang w:val="en-US" w:eastAsia="zh-CN" w:bidi="ar"/>
              </w:rPr>
              <w:t>单位</w:t>
            </w:r>
          </w:p>
        </w:tc>
        <w:tc>
          <w:tcPr>
            <w:tcW w:w="923" w:type="dxa"/>
            <w:tcBorders>
              <w:top w:val="single" w:color="auto" w:sz="4" w:space="0"/>
              <w:left w:val="single" w:color="auto" w:sz="4" w:space="0"/>
              <w:bottom w:val="single" w:color="auto" w:sz="4" w:space="0"/>
              <w:right w:val="single" w:color="auto" w:sz="4" w:space="0"/>
            </w:tcBorders>
            <w:shd w:val="clear" w:color="auto" w:fill="auto"/>
            <w:vAlign w:val="center"/>
          </w:tcPr>
          <w:p w14:paraId="78569787">
            <w:pPr>
              <w:keepNext w:val="0"/>
              <w:keepLines w:val="0"/>
              <w:widowControl/>
              <w:suppressLineNumbers w:val="0"/>
              <w:spacing w:line="240" w:lineRule="auto"/>
              <w:ind w:left="0" w:leftChars="0" w:firstLine="0" w:firstLineChars="0"/>
              <w:jc w:val="center"/>
              <w:textAlignment w:val="center"/>
              <w:rPr>
                <w:rFonts w:ascii="宋体" w:hAnsi="宋体" w:eastAsia="宋体" w:cs="宋体"/>
                <w:b w:val="0"/>
                <w:bCs w:val="0"/>
                <w:i w:val="0"/>
                <w:iCs w:val="0"/>
                <w:color w:val="000000"/>
                <w:sz w:val="21"/>
                <w:szCs w:val="21"/>
                <w:u w:val="none"/>
              </w:rPr>
            </w:pPr>
            <w:r>
              <w:rPr>
                <w:rFonts w:ascii="宋体" w:hAnsi="宋体" w:eastAsia="宋体" w:cs="宋体"/>
                <w:b w:val="0"/>
                <w:bCs w:val="0"/>
                <w:i w:val="0"/>
                <w:iCs w:val="0"/>
                <w:color w:val="000000"/>
                <w:kern w:val="0"/>
                <w:sz w:val="21"/>
                <w:szCs w:val="21"/>
                <w:u w:val="none"/>
                <w:lang w:val="en-US" w:eastAsia="zh-CN" w:bidi="ar"/>
              </w:rPr>
              <w:t>数量</w:t>
            </w:r>
          </w:p>
        </w:tc>
        <w:tc>
          <w:tcPr>
            <w:tcW w:w="1043" w:type="dxa"/>
            <w:tcBorders>
              <w:top w:val="single" w:color="auto" w:sz="4" w:space="0"/>
              <w:left w:val="single" w:color="auto" w:sz="4" w:space="0"/>
              <w:bottom w:val="single" w:color="auto" w:sz="4" w:space="0"/>
              <w:right w:val="single" w:color="auto" w:sz="4" w:space="0"/>
            </w:tcBorders>
            <w:shd w:val="clear" w:color="auto" w:fill="auto"/>
            <w:vAlign w:val="center"/>
          </w:tcPr>
          <w:p w14:paraId="39E9099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单价（元）</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14:paraId="0B9ADC3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总价（元）</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62E750F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控制价（元）</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14:paraId="04437266">
            <w:pPr>
              <w:keepNext w:val="0"/>
              <w:keepLines w:val="0"/>
              <w:widowControl/>
              <w:suppressLineNumbers w:val="0"/>
              <w:spacing w:line="240" w:lineRule="auto"/>
              <w:ind w:left="0" w:leftChars="0" w:firstLine="0" w:firstLineChars="0"/>
              <w:jc w:val="center"/>
              <w:textAlignment w:val="top"/>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备注</w:t>
            </w:r>
          </w:p>
        </w:tc>
      </w:tr>
      <w:tr w14:paraId="4529C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990933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1</w:t>
            </w:r>
          </w:p>
        </w:tc>
        <w:tc>
          <w:tcPr>
            <w:tcW w:w="1588" w:type="dxa"/>
            <w:tcBorders>
              <w:top w:val="single" w:color="auto" w:sz="4" w:space="0"/>
              <w:left w:val="single" w:color="auto" w:sz="4" w:space="0"/>
              <w:bottom w:val="single" w:color="auto" w:sz="4" w:space="0"/>
              <w:right w:val="single" w:color="auto" w:sz="4" w:space="0"/>
            </w:tcBorders>
            <w:shd w:val="clear" w:color="auto" w:fill="auto"/>
            <w:vAlign w:val="center"/>
          </w:tcPr>
          <w:p w14:paraId="1F217DB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回填土土方</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293940E4">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m³</w:t>
            </w:r>
          </w:p>
        </w:tc>
        <w:tc>
          <w:tcPr>
            <w:tcW w:w="923" w:type="dxa"/>
            <w:tcBorders>
              <w:top w:val="single" w:color="auto" w:sz="4" w:space="0"/>
              <w:left w:val="single" w:color="auto" w:sz="4" w:space="0"/>
              <w:bottom w:val="single" w:color="auto" w:sz="4" w:space="0"/>
              <w:right w:val="single" w:color="auto" w:sz="4" w:space="0"/>
            </w:tcBorders>
            <w:shd w:val="clear" w:color="auto" w:fill="auto"/>
            <w:vAlign w:val="center"/>
          </w:tcPr>
          <w:p w14:paraId="4E6223BE">
            <w:pPr>
              <w:spacing w:line="240" w:lineRule="auto"/>
              <w:ind w:left="0" w:leftChars="0" w:firstLine="0" w:firstLineChars="0"/>
              <w:jc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14000</w:t>
            </w:r>
          </w:p>
        </w:tc>
        <w:tc>
          <w:tcPr>
            <w:tcW w:w="1043" w:type="dxa"/>
            <w:tcBorders>
              <w:top w:val="single" w:color="auto" w:sz="4" w:space="0"/>
              <w:left w:val="single" w:color="auto" w:sz="4" w:space="0"/>
              <w:bottom w:val="single" w:color="auto" w:sz="4" w:space="0"/>
              <w:right w:val="single" w:color="auto" w:sz="4" w:space="0"/>
            </w:tcBorders>
            <w:shd w:val="clear" w:color="auto" w:fill="auto"/>
            <w:vAlign w:val="center"/>
          </w:tcPr>
          <w:p w14:paraId="47BE39AE">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14:paraId="73CD9B4C">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1421785F">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50</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14:paraId="75CA6A1C">
            <w:pPr>
              <w:spacing w:line="240" w:lineRule="auto"/>
              <w:jc w:val="center"/>
              <w:rPr>
                <w:rFonts w:hint="eastAsia" w:ascii="宋体" w:hAnsi="宋体" w:eastAsia="宋体" w:cs="宋体"/>
                <w:b w:val="0"/>
                <w:bCs w:val="0"/>
                <w:i w:val="0"/>
                <w:iCs w:val="0"/>
                <w:color w:val="000000"/>
                <w:sz w:val="21"/>
                <w:szCs w:val="21"/>
                <w:u w:val="none"/>
              </w:rPr>
            </w:pPr>
          </w:p>
        </w:tc>
      </w:tr>
      <w:tr w14:paraId="09849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717" w:type="dxa"/>
            <w:gridSpan w:val="8"/>
            <w:tcBorders>
              <w:top w:val="single" w:color="auto" w:sz="4" w:space="0"/>
              <w:left w:val="single" w:color="auto" w:sz="4" w:space="0"/>
              <w:bottom w:val="single" w:color="auto" w:sz="4" w:space="0"/>
              <w:right w:val="single" w:color="auto" w:sz="4" w:space="0"/>
            </w:tcBorders>
            <w:shd w:val="clear" w:color="auto" w:fill="auto"/>
            <w:vAlign w:val="bottom"/>
          </w:tcPr>
          <w:p w14:paraId="103EDE77">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Style w:val="31"/>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注：</w:t>
            </w:r>
          </w:p>
          <w:p w14:paraId="6FC0A75A">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Style w:val="31"/>
                <w:rFonts w:hint="eastAsia" w:asciiTheme="minorEastAsia" w:hAnsiTheme="minorEastAsia" w:eastAsiaTheme="minorEastAsia" w:cstheme="minorEastAsia"/>
                <w:kern w:val="2"/>
                <w:sz w:val="21"/>
                <w:szCs w:val="21"/>
                <w:highlight w:val="none"/>
                <w:lang w:val="en-US" w:eastAsia="zh-CN" w:bidi="ar"/>
              </w:rPr>
            </w:pPr>
            <w:r>
              <w:rPr>
                <w:rStyle w:val="31"/>
                <w:rFonts w:hint="eastAsia"/>
                <w:sz w:val="21"/>
                <w:szCs w:val="21"/>
                <w:lang w:val="en-US" w:eastAsia="zh-CN" w:bidi="ar"/>
              </w:rPr>
              <w:t>1</w:t>
            </w:r>
            <w:r>
              <w:rPr>
                <w:rStyle w:val="31"/>
                <w:rFonts w:hint="eastAsia" w:asciiTheme="minorEastAsia" w:hAnsiTheme="minorEastAsia" w:eastAsiaTheme="minorEastAsia" w:cstheme="minorEastAsia"/>
                <w:kern w:val="2"/>
                <w:sz w:val="21"/>
                <w:szCs w:val="21"/>
                <w:highlight w:val="none"/>
                <w:lang w:val="en-US" w:eastAsia="zh-CN" w:bidi="ar"/>
              </w:rPr>
              <w:t>.供应商响应前请自行现场勘察了解情况，合理规划场地内运输或卸车路线，报价时请综合考虑相应地段垫路钢板等相关费用。</w:t>
            </w:r>
          </w:p>
          <w:p w14:paraId="3139DD24">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Style w:val="31"/>
                <w:rFonts w:hint="eastAsia" w:asciiTheme="minorEastAsia" w:hAnsiTheme="minorEastAsia" w:eastAsiaTheme="minorEastAsia" w:cstheme="minorEastAsia"/>
                <w:kern w:val="2"/>
                <w:sz w:val="21"/>
                <w:szCs w:val="21"/>
                <w:highlight w:val="none"/>
                <w:lang w:val="en-US" w:eastAsia="zh-CN" w:bidi="ar"/>
              </w:rPr>
            </w:pPr>
            <w:r>
              <w:rPr>
                <w:rStyle w:val="31"/>
                <w:rFonts w:hint="eastAsia" w:eastAsia="宋体"/>
                <w:sz w:val="21"/>
                <w:szCs w:val="21"/>
                <w:lang w:val="en-US" w:eastAsia="zh-CN" w:bidi="ar"/>
              </w:rPr>
              <w:t>2</w:t>
            </w:r>
            <w:r>
              <w:rPr>
                <w:rStyle w:val="31"/>
                <w:rFonts w:hint="eastAsia" w:asciiTheme="minorEastAsia" w:hAnsiTheme="minorEastAsia" w:eastAsiaTheme="minorEastAsia" w:cstheme="minorEastAsia"/>
                <w:kern w:val="2"/>
                <w:sz w:val="21"/>
                <w:szCs w:val="21"/>
                <w:highlight w:val="none"/>
                <w:lang w:val="en-US" w:eastAsia="zh-CN" w:bidi="ar"/>
              </w:rPr>
              <w:t>.本次报价是按总包合同质量标准实施和完成本合同所有工作内容的综合单价, 报价时应考虑</w:t>
            </w:r>
            <w:r>
              <w:rPr>
                <w:rStyle w:val="31"/>
                <w:rFonts w:hint="default" w:asciiTheme="minorEastAsia" w:hAnsiTheme="minorEastAsia" w:eastAsiaTheme="minorEastAsia" w:cstheme="minorEastAsia"/>
                <w:kern w:val="2"/>
                <w:sz w:val="21"/>
                <w:szCs w:val="21"/>
                <w:highlight w:val="none"/>
                <w:lang w:val="en-US" w:eastAsia="zh-CN" w:bidi="ar"/>
              </w:rPr>
              <w:t>承包范围中注明的包含</w:t>
            </w:r>
            <w:r>
              <w:rPr>
                <w:rStyle w:val="31"/>
                <w:rFonts w:hint="eastAsia" w:asciiTheme="minorEastAsia" w:hAnsiTheme="minorEastAsia" w:eastAsiaTheme="minorEastAsia" w:cstheme="minorEastAsia"/>
                <w:kern w:val="2"/>
                <w:sz w:val="21"/>
                <w:szCs w:val="21"/>
                <w:highlight w:val="none"/>
                <w:lang w:val="en-US" w:eastAsia="zh-CN" w:bidi="ar"/>
              </w:rPr>
              <w:t>土源费、土方开挖、运输、协调（地方政府、路政、交警等）等费用外</w:t>
            </w:r>
            <w:r>
              <w:rPr>
                <w:rStyle w:val="31"/>
                <w:rFonts w:hint="default" w:asciiTheme="minorEastAsia" w:hAnsiTheme="minorEastAsia" w:eastAsiaTheme="minorEastAsia" w:cstheme="minorEastAsia"/>
                <w:kern w:val="2"/>
                <w:sz w:val="21"/>
                <w:szCs w:val="21"/>
                <w:highlight w:val="none"/>
                <w:lang w:val="en-US" w:eastAsia="zh-CN" w:bidi="ar"/>
              </w:rPr>
              <w:t>，费用中还</w:t>
            </w:r>
            <w:r>
              <w:rPr>
                <w:rStyle w:val="31"/>
                <w:rFonts w:hint="eastAsia" w:asciiTheme="minorEastAsia" w:hAnsiTheme="minorEastAsia" w:eastAsiaTheme="minorEastAsia" w:cstheme="minorEastAsia"/>
                <w:kern w:val="2"/>
                <w:sz w:val="21"/>
                <w:szCs w:val="21"/>
                <w:highlight w:val="none"/>
                <w:lang w:val="en-US" w:eastAsia="zh-CN" w:bidi="ar"/>
              </w:rPr>
              <w:t>包括供应商为完成合同规定工程所涉及人员工资、利润、环保、安全、治安、管理等费用；相应地段垫路钢板费用；各类社会保险及伤害险等</w:t>
            </w:r>
            <w:r>
              <w:rPr>
                <w:rStyle w:val="31"/>
                <w:rFonts w:hint="eastAsia" w:eastAsia="宋体"/>
                <w:sz w:val="21"/>
                <w:szCs w:val="21"/>
                <w:lang w:eastAsia="zh-CN" w:bidi="ar"/>
              </w:rPr>
              <w:t>相关</w:t>
            </w:r>
            <w:r>
              <w:rPr>
                <w:rStyle w:val="31"/>
                <w:rFonts w:hint="eastAsia" w:asciiTheme="minorEastAsia" w:hAnsiTheme="minorEastAsia" w:eastAsiaTheme="minorEastAsia" w:cstheme="minorEastAsia"/>
                <w:kern w:val="2"/>
                <w:sz w:val="21"/>
                <w:szCs w:val="21"/>
                <w:highlight w:val="none"/>
                <w:lang w:val="en-US" w:eastAsia="zh-CN" w:bidi="ar"/>
              </w:rPr>
              <w:t>费用。</w:t>
            </w:r>
          </w:p>
          <w:p w14:paraId="734A73CE">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宋体" w:hAnsi="宋体" w:eastAsia="宋体" w:cs="宋体"/>
                <w:i w:val="0"/>
                <w:iCs w:val="0"/>
                <w:color w:val="000000"/>
                <w:sz w:val="21"/>
                <w:szCs w:val="21"/>
                <w:u w:val="none"/>
              </w:rPr>
            </w:pPr>
            <w:r>
              <w:rPr>
                <w:rStyle w:val="31"/>
                <w:rFonts w:hint="eastAsia" w:eastAsia="宋体"/>
                <w:sz w:val="21"/>
                <w:szCs w:val="21"/>
                <w:lang w:val="en-US" w:eastAsia="zh-CN" w:bidi="ar"/>
              </w:rPr>
              <w:t>3</w:t>
            </w:r>
            <w:r>
              <w:rPr>
                <w:rStyle w:val="31"/>
                <w:rFonts w:hint="eastAsia" w:asciiTheme="minorEastAsia" w:hAnsiTheme="minorEastAsia" w:eastAsiaTheme="minorEastAsia" w:cstheme="minorEastAsia"/>
                <w:kern w:val="2"/>
                <w:sz w:val="21"/>
                <w:szCs w:val="21"/>
                <w:highlight w:val="none"/>
                <w:lang w:val="en-US" w:eastAsia="zh-CN" w:bidi="ar"/>
              </w:rPr>
              <w:t>.本合同签订后，双方针对地块面积和高程联合建设单位共同测量确认地块面积和高程，填土完成后再次测量地块面积和高程，结算时依据前后测量结果进行确认填土工程量。供应商报价时需自行考虑自然沉降和运输等其他客观因素造成的亏方，成交后不予以调整。</w:t>
            </w:r>
          </w:p>
        </w:tc>
      </w:tr>
    </w:tbl>
    <w:p w14:paraId="2244A1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.因建设单位原因出现停工、停建、变更等情况造成承包范围增减，采购人不承担任何责任，采购人有权对供应范围做出调整。</w:t>
      </w:r>
    </w:p>
    <w:p w14:paraId="744560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3</w:t>
      </w:r>
      <w:r>
        <w:rPr>
          <w:rFonts w:hint="eastAsia" w:asciiTheme="minorEastAsia" w:hAnsiTheme="minorEastAsia" w:eastAsiaTheme="minorEastAsia" w:cstheme="minorEastAsia"/>
          <w:kern w:val="2"/>
          <w:sz w:val="28"/>
          <w:szCs w:val="28"/>
          <w:highlight w:val="none"/>
          <w:lang w:val="en-US" w:eastAsia="zh-CN"/>
        </w:rPr>
        <w:t>.土方供应期间，成交人需指派1名联络人常驻现场。</w:t>
      </w:r>
    </w:p>
    <w:p w14:paraId="1AB5EB5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14:paraId="6B3E6A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15ACD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33A49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653B9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4BF63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7A297D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E7DFB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CF7732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643E31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55E9D3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亳蒙高速一期管理区安全整治工程土方采购项目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AHTKJS-2026-006号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27827"/>
      <w:bookmarkStart w:id="242" w:name="_Toc152042576"/>
      <w:bookmarkStart w:id="243" w:name="_Toc144974856"/>
      <w:bookmarkStart w:id="244" w:name="_Toc300835209"/>
      <w:bookmarkStart w:id="245" w:name="_Toc152045787"/>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27828"/>
      <w:bookmarkStart w:id="248" w:name="_Toc300835210"/>
      <w:bookmarkStart w:id="249" w:name="_Toc247514247"/>
      <w:bookmarkStart w:id="250" w:name="_Toc152045788"/>
      <w:bookmarkStart w:id="251" w:name="_Toc152042577"/>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152042579"/>
      <w:bookmarkStart w:id="255" w:name="_Toc300835212"/>
      <w:bookmarkStart w:id="256" w:name="_Toc247527830"/>
      <w:bookmarkStart w:id="257" w:name="_Toc152045790"/>
      <w:bookmarkStart w:id="258"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43529A1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210" w:firstLineChars="100"/>
        <w:jc w:val="both"/>
        <w:textAlignment w:val="auto"/>
        <w:rPr>
          <w:rFonts w:hint="eastAsia" w:ascii="Times New Roman" w:hAnsi="Times New Roman" w:cs="Times New Roman"/>
          <w:color w:val="FF0000"/>
          <w:szCs w:val="21"/>
          <w:lang w:val="en-US" w:eastAsia="zh-CN"/>
        </w:rPr>
      </w:pPr>
      <w:r>
        <w:rPr>
          <w:rFonts w:hint="eastAsia" w:ascii="Times New Roman" w:hAnsi="Times New Roman" w:cs="Times New Roman"/>
          <w:szCs w:val="21"/>
          <w:lang w:val="en-US" w:eastAsia="zh-CN"/>
        </w:rPr>
        <w:t>1.</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亳蒙高速一期管理区安全整治工程土方采购项目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AHTKJS-2026-006号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color w:val="FF0000"/>
          <w:szCs w:val="21"/>
          <w:lang w:val="en-US" w:eastAsia="zh-CN"/>
        </w:rPr>
        <w:t>不含税人民币（大写）</w:t>
      </w:r>
    </w:p>
    <w:p w14:paraId="6C5C830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cs="Times New Roman" w:eastAsiaTheme="minorEastAsia"/>
          <w:szCs w:val="21"/>
          <w:u w:val="none"/>
          <w:lang w:val="en-US" w:eastAsia="zh-CN"/>
        </w:rPr>
      </w:pPr>
      <w:r>
        <w:rPr>
          <w:rFonts w:hint="eastAsia" w:ascii="Times New Roman" w:hAnsi="Times New Roman" w:cs="Times New Roman"/>
          <w:color w:val="FF0000"/>
          <w:szCs w:val="21"/>
          <w:u w:val="single"/>
          <w:lang w:val="en-US" w:eastAsia="zh-CN"/>
        </w:rPr>
        <w:t xml:space="preserve">每立方米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元/m³</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另外，增值税税率为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w:t>
      </w:r>
      <w:r>
        <w:rPr>
          <w:rFonts w:hint="eastAsia" w:ascii="Times New Roman" w:hAnsi="Times New Roman" w:cs="Times New Roman"/>
          <w:color w:val="FF0000"/>
          <w:szCs w:val="21"/>
          <w:u w:val="single"/>
          <w:lang w:val="en-US" w:eastAsia="zh-CN"/>
        </w:rPr>
        <w:t>供货期：自合同签订之日起20日历天，按合同约定完成本项目全部工作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27831"/>
      <w:bookmarkStart w:id="260" w:name="_Toc144974860"/>
      <w:bookmarkStart w:id="261" w:name="_Toc152045791"/>
      <w:bookmarkStart w:id="262" w:name="_Toc300835213"/>
      <w:bookmarkStart w:id="263" w:name="_Toc152042580"/>
      <w:bookmarkStart w:id="264"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144974861"/>
      <w:bookmarkStart w:id="267" w:name="_Toc247514284"/>
      <w:bookmarkStart w:id="268" w:name="_Toc152042581"/>
      <w:bookmarkStart w:id="269" w:name="_Toc300835214"/>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247514286"/>
      <w:bookmarkStart w:id="273" w:name="_Toc152045794"/>
      <w:bookmarkStart w:id="274" w:name="_Toc152042583"/>
      <w:bookmarkStart w:id="275" w:name="_Toc247527834"/>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144974863"/>
      <w:bookmarkStart w:id="280" w:name="_Toc247514287"/>
      <w:bookmarkStart w:id="281" w:name="_Toc152042584"/>
      <w:bookmarkStart w:id="282" w:name="_Toc247527835"/>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87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0"/>
        <w:gridCol w:w="1588"/>
        <w:gridCol w:w="1102"/>
        <w:gridCol w:w="923"/>
        <w:gridCol w:w="1043"/>
        <w:gridCol w:w="960"/>
        <w:gridCol w:w="1104"/>
        <w:gridCol w:w="797"/>
      </w:tblGrid>
      <w:tr w14:paraId="55AD1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717" w:type="dxa"/>
            <w:gridSpan w:val="8"/>
            <w:tcBorders>
              <w:top w:val="nil"/>
              <w:left w:val="nil"/>
              <w:bottom w:val="single" w:color="auto" w:sz="4" w:space="0"/>
              <w:right w:val="nil"/>
            </w:tcBorders>
            <w:shd w:val="clear" w:color="auto" w:fill="auto"/>
            <w:vAlign w:val="center"/>
          </w:tcPr>
          <w:p w14:paraId="715C290B">
            <w:pPr>
              <w:keepNext w:val="0"/>
              <w:keepLines w:val="0"/>
              <w:widowControl/>
              <w:suppressLineNumbers w:val="0"/>
              <w:ind w:left="0" w:leftChars="0" w:firstLine="0" w:firstLineChars="0"/>
              <w:jc w:val="center"/>
              <w:textAlignment w:val="center"/>
              <w:rPr>
                <w:rFonts w:hint="default" w:ascii="宋体" w:hAnsi="宋体" w:eastAsia="宋体" w:cs="宋体"/>
                <w:b/>
                <w:bCs/>
                <w:i w:val="0"/>
                <w:iCs w:val="0"/>
                <w:color w:val="000000"/>
                <w:sz w:val="32"/>
                <w:szCs w:val="32"/>
                <w:u w:val="none"/>
                <w:lang w:val="en-US"/>
              </w:rPr>
            </w:pPr>
            <w:r>
              <w:rPr>
                <w:rFonts w:hint="eastAsia" w:ascii="宋体" w:hAnsi="宋体" w:eastAsia="宋体" w:cs="宋体"/>
                <w:b/>
                <w:bCs/>
                <w:i w:val="0"/>
                <w:iCs w:val="0"/>
                <w:color w:val="000000"/>
                <w:kern w:val="0"/>
                <w:sz w:val="28"/>
                <w:szCs w:val="28"/>
                <w:u w:val="none"/>
                <w:lang w:val="en-US" w:eastAsia="zh-CN" w:bidi="ar"/>
              </w:rPr>
              <w:t>报价表</w:t>
            </w:r>
          </w:p>
        </w:tc>
      </w:tr>
      <w:tr w14:paraId="0AF15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8717" w:type="dxa"/>
            <w:gridSpan w:val="8"/>
            <w:tcBorders>
              <w:top w:val="single" w:color="auto" w:sz="4" w:space="0"/>
              <w:left w:val="single" w:color="auto" w:sz="4" w:space="0"/>
              <w:bottom w:val="single" w:color="auto" w:sz="4" w:space="0"/>
              <w:right w:val="single" w:color="auto" w:sz="4" w:space="0"/>
            </w:tcBorders>
            <w:shd w:val="clear" w:color="auto" w:fill="auto"/>
            <w:vAlign w:val="top"/>
          </w:tcPr>
          <w:p w14:paraId="490D8F81">
            <w:pPr>
              <w:ind w:left="0" w:leftChars="0" w:firstLine="0" w:firstLineChars="0"/>
              <w:rPr>
                <w:rFonts w:hint="eastAsia" w:ascii="Arial" w:hAnsi="Arial" w:cs="Arial"/>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项目名称：</w:t>
            </w:r>
            <w:r>
              <w:rPr>
                <w:rFonts w:hint="eastAsia" w:ascii="宋体" w:hAnsi="宋体" w:eastAsia="宋体" w:cs="宋体"/>
                <w:i w:val="0"/>
                <w:iCs w:val="0"/>
                <w:color w:val="000000"/>
                <w:kern w:val="0"/>
                <w:sz w:val="21"/>
                <w:szCs w:val="21"/>
                <w:u w:val="none"/>
                <w:lang w:val="en-US" w:eastAsia="zh-CN" w:bidi="ar"/>
              </w:rPr>
              <w:t>亳蒙高速一期管理区安全整治工程土方采购项目</w:t>
            </w:r>
          </w:p>
        </w:tc>
      </w:tr>
      <w:tr w14:paraId="6EE10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249F3E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序号</w:t>
            </w:r>
          </w:p>
        </w:tc>
        <w:tc>
          <w:tcPr>
            <w:tcW w:w="1588" w:type="dxa"/>
            <w:tcBorders>
              <w:top w:val="single" w:color="auto" w:sz="4" w:space="0"/>
              <w:left w:val="single" w:color="auto" w:sz="4" w:space="0"/>
              <w:bottom w:val="single" w:color="auto" w:sz="4" w:space="0"/>
              <w:right w:val="single" w:color="auto" w:sz="4" w:space="0"/>
            </w:tcBorders>
            <w:shd w:val="clear" w:color="auto" w:fill="auto"/>
            <w:vAlign w:val="center"/>
          </w:tcPr>
          <w:p w14:paraId="59702062">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采购名称</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3836DF74">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ascii="宋体" w:hAnsi="宋体" w:eastAsia="宋体" w:cs="宋体"/>
                <w:b w:val="0"/>
                <w:bCs w:val="0"/>
                <w:i w:val="0"/>
                <w:iCs w:val="0"/>
                <w:color w:val="000000"/>
                <w:kern w:val="0"/>
                <w:sz w:val="21"/>
                <w:szCs w:val="21"/>
                <w:u w:val="none"/>
                <w:lang w:val="en-US" w:eastAsia="zh-CN" w:bidi="ar"/>
              </w:rPr>
              <w:t>单位</w:t>
            </w:r>
          </w:p>
        </w:tc>
        <w:tc>
          <w:tcPr>
            <w:tcW w:w="923" w:type="dxa"/>
            <w:tcBorders>
              <w:top w:val="single" w:color="auto" w:sz="4" w:space="0"/>
              <w:left w:val="single" w:color="auto" w:sz="4" w:space="0"/>
              <w:bottom w:val="single" w:color="auto" w:sz="4" w:space="0"/>
              <w:right w:val="single" w:color="auto" w:sz="4" w:space="0"/>
            </w:tcBorders>
            <w:shd w:val="clear" w:color="auto" w:fill="auto"/>
            <w:vAlign w:val="center"/>
          </w:tcPr>
          <w:p w14:paraId="25FD8EAB">
            <w:pPr>
              <w:keepNext w:val="0"/>
              <w:keepLines w:val="0"/>
              <w:widowControl/>
              <w:suppressLineNumbers w:val="0"/>
              <w:spacing w:line="240" w:lineRule="auto"/>
              <w:ind w:left="0" w:leftChars="0" w:firstLine="0" w:firstLineChars="0"/>
              <w:jc w:val="center"/>
              <w:textAlignment w:val="center"/>
              <w:rPr>
                <w:rFonts w:ascii="宋体" w:hAnsi="宋体" w:eastAsia="宋体" w:cs="宋体"/>
                <w:b w:val="0"/>
                <w:bCs w:val="0"/>
                <w:i w:val="0"/>
                <w:iCs w:val="0"/>
                <w:color w:val="000000"/>
                <w:sz w:val="21"/>
                <w:szCs w:val="21"/>
                <w:u w:val="none"/>
              </w:rPr>
            </w:pPr>
            <w:r>
              <w:rPr>
                <w:rFonts w:ascii="宋体" w:hAnsi="宋体" w:eastAsia="宋体" w:cs="宋体"/>
                <w:b w:val="0"/>
                <w:bCs w:val="0"/>
                <w:i w:val="0"/>
                <w:iCs w:val="0"/>
                <w:color w:val="000000"/>
                <w:kern w:val="0"/>
                <w:sz w:val="21"/>
                <w:szCs w:val="21"/>
                <w:u w:val="none"/>
                <w:lang w:val="en-US" w:eastAsia="zh-CN" w:bidi="ar"/>
              </w:rPr>
              <w:t>数量</w:t>
            </w:r>
          </w:p>
        </w:tc>
        <w:tc>
          <w:tcPr>
            <w:tcW w:w="1043" w:type="dxa"/>
            <w:tcBorders>
              <w:top w:val="single" w:color="auto" w:sz="4" w:space="0"/>
              <w:left w:val="single" w:color="auto" w:sz="4" w:space="0"/>
              <w:bottom w:val="single" w:color="auto" w:sz="4" w:space="0"/>
              <w:right w:val="single" w:color="auto" w:sz="4" w:space="0"/>
            </w:tcBorders>
            <w:shd w:val="clear" w:color="auto" w:fill="auto"/>
            <w:vAlign w:val="center"/>
          </w:tcPr>
          <w:p w14:paraId="54CCD74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单价（元）</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14:paraId="03C097D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总价（元）</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0961D8F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控制价（元）</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14:paraId="6F5576BF">
            <w:pPr>
              <w:keepNext w:val="0"/>
              <w:keepLines w:val="0"/>
              <w:widowControl/>
              <w:suppressLineNumbers w:val="0"/>
              <w:spacing w:line="240" w:lineRule="auto"/>
              <w:ind w:left="0" w:leftChars="0" w:firstLine="0" w:firstLineChars="0"/>
              <w:jc w:val="center"/>
              <w:textAlignment w:val="top"/>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备注</w:t>
            </w:r>
          </w:p>
        </w:tc>
      </w:tr>
      <w:tr w14:paraId="32F36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3" w:hRule="atLeast"/>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7535879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1</w:t>
            </w:r>
          </w:p>
        </w:tc>
        <w:tc>
          <w:tcPr>
            <w:tcW w:w="1588" w:type="dxa"/>
            <w:tcBorders>
              <w:top w:val="single" w:color="auto" w:sz="4" w:space="0"/>
              <w:left w:val="single" w:color="auto" w:sz="4" w:space="0"/>
              <w:bottom w:val="single" w:color="auto" w:sz="4" w:space="0"/>
              <w:right w:val="single" w:color="auto" w:sz="4" w:space="0"/>
            </w:tcBorders>
            <w:shd w:val="clear" w:color="auto" w:fill="auto"/>
            <w:vAlign w:val="center"/>
          </w:tcPr>
          <w:p w14:paraId="3DF3BBC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回填土土方</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112993F4">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m³</w:t>
            </w:r>
          </w:p>
        </w:tc>
        <w:tc>
          <w:tcPr>
            <w:tcW w:w="923" w:type="dxa"/>
            <w:tcBorders>
              <w:top w:val="single" w:color="auto" w:sz="4" w:space="0"/>
              <w:left w:val="single" w:color="auto" w:sz="4" w:space="0"/>
              <w:bottom w:val="single" w:color="auto" w:sz="4" w:space="0"/>
              <w:right w:val="single" w:color="auto" w:sz="4" w:space="0"/>
            </w:tcBorders>
            <w:shd w:val="clear" w:color="auto" w:fill="auto"/>
            <w:vAlign w:val="center"/>
          </w:tcPr>
          <w:p w14:paraId="155972A5">
            <w:pPr>
              <w:spacing w:line="240" w:lineRule="auto"/>
              <w:ind w:left="0" w:leftChars="0" w:firstLine="0" w:firstLineChars="0"/>
              <w:jc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14000</w:t>
            </w:r>
          </w:p>
        </w:tc>
        <w:tc>
          <w:tcPr>
            <w:tcW w:w="1043" w:type="dxa"/>
            <w:tcBorders>
              <w:top w:val="single" w:color="auto" w:sz="4" w:space="0"/>
              <w:left w:val="single" w:color="auto" w:sz="4" w:space="0"/>
              <w:bottom w:val="single" w:color="auto" w:sz="4" w:space="0"/>
              <w:right w:val="single" w:color="auto" w:sz="4" w:space="0"/>
            </w:tcBorders>
            <w:shd w:val="clear" w:color="auto" w:fill="auto"/>
            <w:vAlign w:val="center"/>
          </w:tcPr>
          <w:p w14:paraId="4A310DBF">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14:paraId="15AFC4EB">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44BE58EE">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50</w:t>
            </w:r>
          </w:p>
        </w:tc>
        <w:tc>
          <w:tcPr>
            <w:tcW w:w="797" w:type="dxa"/>
            <w:tcBorders>
              <w:top w:val="single" w:color="auto" w:sz="4" w:space="0"/>
              <w:left w:val="single" w:color="auto" w:sz="4" w:space="0"/>
              <w:bottom w:val="single" w:color="auto" w:sz="4" w:space="0"/>
              <w:right w:val="single" w:color="auto" w:sz="4" w:space="0"/>
            </w:tcBorders>
            <w:shd w:val="clear" w:color="auto" w:fill="auto"/>
            <w:vAlign w:val="center"/>
          </w:tcPr>
          <w:p w14:paraId="21F9EFF4">
            <w:pPr>
              <w:spacing w:line="240" w:lineRule="auto"/>
              <w:jc w:val="center"/>
              <w:rPr>
                <w:rFonts w:hint="eastAsia" w:ascii="宋体" w:hAnsi="宋体" w:eastAsia="宋体" w:cs="宋体"/>
                <w:b w:val="0"/>
                <w:bCs w:val="0"/>
                <w:i w:val="0"/>
                <w:iCs w:val="0"/>
                <w:color w:val="000000"/>
                <w:sz w:val="21"/>
                <w:szCs w:val="21"/>
                <w:u w:val="none"/>
              </w:rPr>
            </w:pPr>
          </w:p>
        </w:tc>
      </w:tr>
      <w:tr w14:paraId="7E688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1" w:hRule="atLeast"/>
        </w:trPr>
        <w:tc>
          <w:tcPr>
            <w:tcW w:w="8717" w:type="dxa"/>
            <w:gridSpan w:val="8"/>
            <w:tcBorders>
              <w:top w:val="single" w:color="auto" w:sz="4" w:space="0"/>
              <w:left w:val="single" w:color="auto" w:sz="4" w:space="0"/>
              <w:bottom w:val="single" w:color="auto" w:sz="4" w:space="0"/>
              <w:right w:val="single" w:color="auto" w:sz="4" w:space="0"/>
            </w:tcBorders>
            <w:shd w:val="clear" w:color="auto" w:fill="auto"/>
            <w:vAlign w:val="bottom"/>
          </w:tcPr>
          <w:p w14:paraId="609317DA">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Style w:val="31"/>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注：</w:t>
            </w:r>
          </w:p>
          <w:p w14:paraId="1BBEC1E0">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Style w:val="31"/>
                <w:rFonts w:hint="eastAsia" w:asciiTheme="minorEastAsia" w:hAnsiTheme="minorEastAsia" w:eastAsiaTheme="minorEastAsia" w:cstheme="minorEastAsia"/>
                <w:kern w:val="2"/>
                <w:sz w:val="21"/>
                <w:szCs w:val="21"/>
                <w:highlight w:val="none"/>
                <w:lang w:val="en-US" w:eastAsia="zh-CN" w:bidi="ar"/>
              </w:rPr>
            </w:pPr>
            <w:r>
              <w:rPr>
                <w:rStyle w:val="31"/>
                <w:rFonts w:hint="eastAsia"/>
                <w:sz w:val="21"/>
                <w:szCs w:val="21"/>
                <w:lang w:val="en-US" w:eastAsia="zh-CN" w:bidi="ar"/>
              </w:rPr>
              <w:t>1</w:t>
            </w:r>
            <w:r>
              <w:rPr>
                <w:rStyle w:val="31"/>
                <w:rFonts w:hint="eastAsia" w:asciiTheme="minorEastAsia" w:hAnsiTheme="minorEastAsia" w:eastAsiaTheme="minorEastAsia" w:cstheme="minorEastAsia"/>
                <w:kern w:val="2"/>
                <w:sz w:val="21"/>
                <w:szCs w:val="21"/>
                <w:highlight w:val="none"/>
                <w:lang w:val="en-US" w:eastAsia="zh-CN" w:bidi="ar"/>
              </w:rPr>
              <w:t>.供应商响应前请自行现场勘察了解情况，合理规划场地内运输或卸车路线，报价时请综合考虑相应地段垫路钢板等相关费用。</w:t>
            </w:r>
          </w:p>
          <w:p w14:paraId="0A191EE9">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Style w:val="31"/>
                <w:rFonts w:hint="eastAsia" w:asciiTheme="minorEastAsia" w:hAnsiTheme="minorEastAsia" w:eastAsiaTheme="minorEastAsia" w:cstheme="minorEastAsia"/>
                <w:kern w:val="2"/>
                <w:sz w:val="21"/>
                <w:szCs w:val="21"/>
                <w:highlight w:val="none"/>
                <w:lang w:val="en-US" w:eastAsia="zh-CN" w:bidi="ar"/>
              </w:rPr>
            </w:pPr>
            <w:r>
              <w:rPr>
                <w:rStyle w:val="31"/>
                <w:rFonts w:hint="eastAsia" w:eastAsia="宋体"/>
                <w:sz w:val="21"/>
                <w:szCs w:val="21"/>
                <w:lang w:val="en-US" w:eastAsia="zh-CN" w:bidi="ar"/>
              </w:rPr>
              <w:t>2</w:t>
            </w:r>
            <w:r>
              <w:rPr>
                <w:rStyle w:val="31"/>
                <w:rFonts w:hint="eastAsia" w:asciiTheme="minorEastAsia" w:hAnsiTheme="minorEastAsia" w:eastAsiaTheme="minorEastAsia" w:cstheme="minorEastAsia"/>
                <w:kern w:val="2"/>
                <w:sz w:val="21"/>
                <w:szCs w:val="21"/>
                <w:highlight w:val="none"/>
                <w:lang w:val="en-US" w:eastAsia="zh-CN" w:bidi="ar"/>
              </w:rPr>
              <w:t>.本次报价是按总包合同质量标准实施和完成本合同所有工作内容的综合单价, 报价时应考虑</w:t>
            </w:r>
            <w:r>
              <w:rPr>
                <w:rStyle w:val="31"/>
                <w:rFonts w:hint="default" w:asciiTheme="minorEastAsia" w:hAnsiTheme="minorEastAsia" w:eastAsiaTheme="minorEastAsia" w:cstheme="minorEastAsia"/>
                <w:kern w:val="2"/>
                <w:sz w:val="21"/>
                <w:szCs w:val="21"/>
                <w:highlight w:val="none"/>
                <w:lang w:val="en-US" w:eastAsia="zh-CN" w:bidi="ar"/>
              </w:rPr>
              <w:t>承包范围中注明的包含</w:t>
            </w:r>
            <w:r>
              <w:rPr>
                <w:rStyle w:val="31"/>
                <w:rFonts w:hint="eastAsia" w:asciiTheme="minorEastAsia" w:hAnsiTheme="minorEastAsia" w:eastAsiaTheme="minorEastAsia" w:cstheme="minorEastAsia"/>
                <w:kern w:val="2"/>
                <w:sz w:val="21"/>
                <w:szCs w:val="21"/>
                <w:highlight w:val="none"/>
                <w:lang w:val="en-US" w:eastAsia="zh-CN" w:bidi="ar"/>
              </w:rPr>
              <w:t>土源费、土方开挖、运输、协调（地方政府、路政、交警等）等费用外</w:t>
            </w:r>
            <w:r>
              <w:rPr>
                <w:rStyle w:val="31"/>
                <w:rFonts w:hint="default" w:asciiTheme="minorEastAsia" w:hAnsiTheme="minorEastAsia" w:eastAsiaTheme="minorEastAsia" w:cstheme="minorEastAsia"/>
                <w:kern w:val="2"/>
                <w:sz w:val="21"/>
                <w:szCs w:val="21"/>
                <w:highlight w:val="none"/>
                <w:lang w:val="en-US" w:eastAsia="zh-CN" w:bidi="ar"/>
              </w:rPr>
              <w:t>，费用中还</w:t>
            </w:r>
            <w:r>
              <w:rPr>
                <w:rStyle w:val="31"/>
                <w:rFonts w:hint="eastAsia" w:asciiTheme="minorEastAsia" w:hAnsiTheme="minorEastAsia" w:eastAsiaTheme="minorEastAsia" w:cstheme="minorEastAsia"/>
                <w:kern w:val="2"/>
                <w:sz w:val="21"/>
                <w:szCs w:val="21"/>
                <w:highlight w:val="none"/>
                <w:lang w:val="en-US" w:eastAsia="zh-CN" w:bidi="ar"/>
              </w:rPr>
              <w:t>包括供应商为完成合同规定工程所涉及人员工资、利润、环保、安全、治安、管理等费用；相应地段垫路钢板费用；各类社会保险及伤害险等</w:t>
            </w:r>
            <w:r>
              <w:rPr>
                <w:rStyle w:val="31"/>
                <w:rFonts w:hint="eastAsia" w:eastAsia="宋体"/>
                <w:sz w:val="21"/>
                <w:szCs w:val="21"/>
                <w:lang w:eastAsia="zh-CN" w:bidi="ar"/>
              </w:rPr>
              <w:t>相关</w:t>
            </w:r>
            <w:r>
              <w:rPr>
                <w:rStyle w:val="31"/>
                <w:rFonts w:hint="eastAsia" w:asciiTheme="minorEastAsia" w:hAnsiTheme="minorEastAsia" w:eastAsiaTheme="minorEastAsia" w:cstheme="minorEastAsia"/>
                <w:kern w:val="2"/>
                <w:sz w:val="21"/>
                <w:szCs w:val="21"/>
                <w:highlight w:val="none"/>
                <w:lang w:val="en-US" w:eastAsia="zh-CN" w:bidi="ar"/>
              </w:rPr>
              <w:t>费用。</w:t>
            </w:r>
          </w:p>
          <w:p w14:paraId="691083EB">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宋体" w:hAnsi="宋体" w:eastAsia="宋体" w:cs="宋体"/>
                <w:i w:val="0"/>
                <w:iCs w:val="0"/>
                <w:color w:val="000000"/>
                <w:sz w:val="21"/>
                <w:szCs w:val="21"/>
                <w:u w:val="none"/>
              </w:rPr>
            </w:pPr>
            <w:r>
              <w:rPr>
                <w:rStyle w:val="31"/>
                <w:rFonts w:hint="eastAsia" w:eastAsia="宋体"/>
                <w:sz w:val="21"/>
                <w:szCs w:val="21"/>
                <w:lang w:val="en-US" w:eastAsia="zh-CN" w:bidi="ar"/>
              </w:rPr>
              <w:t>3</w:t>
            </w:r>
            <w:r>
              <w:rPr>
                <w:rStyle w:val="31"/>
                <w:rFonts w:hint="eastAsia" w:asciiTheme="minorEastAsia" w:hAnsiTheme="minorEastAsia" w:eastAsiaTheme="minorEastAsia" w:cstheme="minorEastAsia"/>
                <w:kern w:val="2"/>
                <w:sz w:val="21"/>
                <w:szCs w:val="21"/>
                <w:highlight w:val="none"/>
                <w:lang w:val="en-US" w:eastAsia="zh-CN" w:bidi="ar"/>
              </w:rPr>
              <w:t>.本合同签订后，双方针对地块面积和高程联合建设单位共同测量确认地块面积和高程，填土完成后再次测量地块面积和高程，结算时依据前后测量结果进行确认填土工程量。供应商报价时需自行考虑自然沉降和运输等其他客观因素造成的亏方，成交后不予以调整。</w:t>
            </w:r>
          </w:p>
        </w:tc>
      </w:tr>
    </w:tbl>
    <w:p w14:paraId="59C92279">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52045796"/>
      <w:bookmarkStart w:id="285" w:name="_Toc152042585"/>
      <w:bookmarkStart w:id="286" w:name="_Toc144974864"/>
      <w:bookmarkStart w:id="287" w:name="_Toc247527836"/>
      <w:bookmarkStart w:id="288" w:name="_Toc247514288"/>
      <w:bookmarkStart w:id="289" w:name="_Toc300835221"/>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179632828"/>
      <w:bookmarkStart w:id="293" w:name="_Toc246997116"/>
      <w:bookmarkStart w:id="294" w:name="_Toc246996373"/>
      <w:bookmarkStart w:id="295" w:name="_Toc29660261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7113"/>
      <w:bookmarkStart w:id="297" w:name="_Toc296602615"/>
      <w:bookmarkStart w:id="298" w:name="_Toc246996370"/>
      <w:bookmarkStart w:id="299" w:name="_Toc247085888"/>
      <w:bookmarkStart w:id="300" w:name="_Toc152045810"/>
      <w:bookmarkStart w:id="301" w:name="_Toc247527850"/>
      <w:bookmarkStart w:id="302" w:name="_Toc247514302"/>
      <w:bookmarkStart w:id="303" w:name="_Toc300835226"/>
      <w:bookmarkStart w:id="304" w:name="_Toc144974878"/>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96602616"/>
      <w:bookmarkStart w:id="308" w:name="_Toc246997114"/>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152045811"/>
      <w:bookmarkStart w:id="312" w:name="_Toc144974879"/>
      <w:bookmarkStart w:id="313" w:name="_Toc152042600"/>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3712F6A3">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2、提供供应商的资质证书的复印件或扫描件，加盖单位公章；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4"/>
        <w:numPr>
          <w:ilvl w:val="0"/>
          <w:numId w:val="0"/>
        </w:numPr>
        <w:jc w:val="center"/>
        <w:rPr>
          <w:rFonts w:hint="default"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AF999E0-B969-4BEF-A2EF-ACAF24572CBE}"/>
  </w:font>
  <w:font w:name="Arial">
    <w:panose1 w:val="020B0604020202020204"/>
    <w:charset w:val="01"/>
    <w:family w:val="swiss"/>
    <w:pitch w:val="default"/>
    <w:sig w:usb0="E0002EFF" w:usb1="C000785B" w:usb2="00000009" w:usb3="00000000" w:csb0="400001FF" w:csb1="FFFF0000"/>
    <w:embedRegular r:id="rId2" w:fontKey="{EA73DF49-AAC7-489A-9699-833F7D351172}"/>
  </w:font>
  <w:font w:name="黑体">
    <w:panose1 w:val="02010609060101010101"/>
    <w:charset w:val="86"/>
    <w:family w:val="auto"/>
    <w:pitch w:val="default"/>
    <w:sig w:usb0="800002BF" w:usb1="38CF7CFA" w:usb2="00000016" w:usb3="00000000" w:csb0="00040001" w:csb1="00000000"/>
    <w:embedRegular r:id="rId3" w:fontKey="{55B1489C-A311-4430-9458-B449DA9B9F7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C12BB88A-EF7F-402F-AE14-E108B4ECD79C}"/>
  </w:font>
  <w:font w:name="仿宋_GB2312">
    <w:panose1 w:val="02010609030101010101"/>
    <w:charset w:val="86"/>
    <w:family w:val="modern"/>
    <w:pitch w:val="default"/>
    <w:sig w:usb0="00000001" w:usb1="080E0000" w:usb2="00000000" w:usb3="00000000" w:csb0="00040000" w:csb1="00000000"/>
    <w:embedRegular r:id="rId5" w:fontKey="{2A309266-936C-4452-978F-DAD9ABFC4321}"/>
  </w:font>
  <w:font w:name="方正小标宋简体">
    <w:panose1 w:val="03000509000000000000"/>
    <w:charset w:val="86"/>
    <w:family w:val="auto"/>
    <w:pitch w:val="default"/>
    <w:sig w:usb0="00000001" w:usb1="080E0000" w:usb2="00000000" w:usb3="00000000" w:csb0="00040000" w:csb1="00000000"/>
    <w:embedRegular r:id="rId6" w:fontKey="{32863E7C-5797-494C-85D1-204E47576BD2}"/>
  </w:font>
  <w:font w:name="楷体">
    <w:panose1 w:val="02010609060101010101"/>
    <w:charset w:val="86"/>
    <w:family w:val="auto"/>
    <w:pitch w:val="default"/>
    <w:sig w:usb0="800002BF" w:usb1="38CF7CFA" w:usb2="00000016" w:usb3="00000000" w:csb0="00040001" w:csb1="00000000"/>
    <w:embedRegular r:id="rId7" w:fontKey="{835ADD44-D56E-45C6-A437-D1D3BC74B1C0}"/>
  </w:font>
  <w:font w:name="Wingdings 2">
    <w:panose1 w:val="05020102010507070707"/>
    <w:charset w:val="00"/>
    <w:family w:val="auto"/>
    <w:pitch w:val="default"/>
    <w:sig w:usb0="00000000" w:usb1="00000000" w:usb2="00000000" w:usb3="00000000" w:csb0="80000000" w:csb1="00000000"/>
    <w:embedRegular r:id="rId8" w:fontKey="{2BC0091E-B0C8-4CD9-8F5F-892F0CE0AABA}"/>
  </w:font>
  <w:font w:name="方正仿宋_GB2312">
    <w:panose1 w:val="02000000000000000000"/>
    <w:charset w:val="86"/>
    <w:family w:val="auto"/>
    <w:pitch w:val="default"/>
    <w:sig w:usb0="A00002BF" w:usb1="184F6CFA" w:usb2="00000012" w:usb3="00000000" w:csb0="00040001" w:csb1="00000000"/>
    <w:embedRegular r:id="rId9" w:fontKey="{40789DBA-68E3-4BC7-AE26-9396607337D3}"/>
  </w:font>
  <w:font w:name="仿宋">
    <w:panose1 w:val="02010609060101010101"/>
    <w:charset w:val="86"/>
    <w:family w:val="modern"/>
    <w:pitch w:val="default"/>
    <w:sig w:usb0="800002BF" w:usb1="38CF7CFA" w:usb2="00000016" w:usb3="00000000" w:csb0="00040001" w:csb1="00000000"/>
    <w:embedRegular r:id="rId10" w:fontKey="{BAC81692-F011-49B0-B32F-1BBA716CA852}"/>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534799"/>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AC53F5"/>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CF0572"/>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4E20EA"/>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718E2"/>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687B02"/>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05FA0"/>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D239E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3506"/>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character" w:customStyle="1" w:styleId="31">
    <w:name w:val="font7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13331</Words>
  <Characters>14297</Characters>
  <Lines>0</Lines>
  <Paragraphs>0</Paragraphs>
  <TotalTime>70</TotalTime>
  <ScaleCrop>false</ScaleCrop>
  <LinksUpToDate>false</LinksUpToDate>
  <CharactersWithSpaces>14466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MyStic</cp:lastModifiedBy>
  <cp:lastPrinted>2026-02-27T06:55:00Z</cp:lastPrinted>
  <dcterms:modified xsi:type="dcterms:W3CDTF">2026-03-03T07:21:26Z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D11A697664DD4AEDAB7F406CE9EC0FBC_13</vt:lpwstr>
  </property>
  <property fmtid="{D5CDD505-2E9C-101B-9397-08002B2CF9AE}" pid="4" name="KSOTemplateDocerSaveRecord">
    <vt:lpwstr>eyJoZGlkIjoiNGQwNDEwOTliYTQ0MjFkY2Q2Yjg0MDk3OTcwOGQ5NTMiLCJ1c2VySWQiOiI1NTMyMjQzNDEifQ==</vt:lpwstr>
  </property>
</Properties>
</file>