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文化公园首末站290kW光储充一体化项目劳务分包</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AHTKJS-2026-020号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月10日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文化公园首末站290kW光储充一体化项目劳务分包</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文化公园首末站290kW光储充一体化项目劳务分包</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AHTKJS-2026-020号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（含税，3%）</w:t>
      </w:r>
      <w:permEnd w:id="7"/>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color w:val="FF0000"/>
          <w:kern w:val="2"/>
          <w:sz w:val="28"/>
          <w:szCs w:val="28"/>
          <w:highlight w:val="none"/>
          <w:u w:val="single"/>
          <w:lang w:val="en-US" w:eastAsia="zh-CN"/>
        </w:rPr>
        <w:t>0.48元/Wp</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8"/>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本次的采购范围是文化公园首末站290kW光储充一体化项目劳务分包，具体施工内容详见采购人要求。供应商响应前请认真查看施工图纸并自行现场勘察了解情况，响应时我方认为供应商已充分了解工程概况及工作范围。</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宋体" w:hAnsi="宋体" w:cs="宋体"/>
          <w:color w:val="auto"/>
          <w:kern w:val="2"/>
          <w:sz w:val="28"/>
          <w:szCs w:val="28"/>
          <w:highlight w:val="none"/>
          <w:lang w:val="en-US" w:eastAsia="zh-CN"/>
        </w:rPr>
        <w:t>计划工期</w:t>
      </w:r>
      <w:r>
        <w:rPr>
          <w:rFonts w:hint="eastAsia" w:ascii="宋体" w:hAnsi="宋体" w:eastAsia="宋体" w:cs="宋体"/>
          <w:color w:val="auto"/>
          <w:kern w:val="2"/>
          <w:sz w:val="28"/>
          <w:szCs w:val="28"/>
          <w:highlight w:val="none"/>
          <w:lang w:val="en-US" w:eastAsia="zh-CN"/>
        </w:rPr>
        <w:t>：自合同签订之日起</w:t>
      </w:r>
      <w:r>
        <w:rPr>
          <w:rFonts w:hint="eastAsia" w:ascii="宋体" w:hAnsi="宋体" w:eastAsia="宋体" w:cs="宋体"/>
          <w:color w:val="FF0000"/>
          <w:kern w:val="2"/>
          <w:sz w:val="28"/>
          <w:szCs w:val="28"/>
          <w:highlight w:val="none"/>
          <w:u w:val="single"/>
          <w:lang w:val="en-US" w:eastAsia="zh-CN"/>
        </w:rPr>
        <w:t>40</w:t>
      </w:r>
      <w:r>
        <w:rPr>
          <w:rFonts w:hint="eastAsia" w:ascii="宋体" w:hAnsi="宋体" w:eastAsia="宋体" w:cs="宋体"/>
          <w:color w:val="auto"/>
          <w:kern w:val="2"/>
          <w:sz w:val="28"/>
          <w:szCs w:val="28"/>
          <w:highlight w:val="none"/>
          <w:lang w:val="en-US" w:eastAsia="zh-CN"/>
        </w:rPr>
        <w:t>日历天</w:t>
      </w:r>
      <w:r>
        <w:rPr>
          <w:rFonts w:hint="eastAsia" w:asciiTheme="minorEastAsia" w:hAnsiTheme="minorEastAsia" w:cstheme="minorEastAsia"/>
          <w:sz w:val="28"/>
          <w:szCs w:val="28"/>
          <w:highlight w:val="none"/>
          <w:lang w:val="en-US" w:eastAsia="zh-CN"/>
        </w:rPr>
        <w:t>。</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亳州市谯城区</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w:t>
      </w:r>
      <w:r>
        <w:rPr>
          <w:rFonts w:hint="eastAsia" w:asciiTheme="minorEastAsia" w:hAnsiTheme="minorEastAsia" w:cstheme="minorEastAsia"/>
          <w:sz w:val="28"/>
          <w:szCs w:val="28"/>
          <w:highlight w:val="none"/>
          <w:lang w:val="en-US" w:eastAsia="zh-CN"/>
        </w:rPr>
        <w:t>须</w:t>
      </w:r>
      <w:r>
        <w:rPr>
          <w:rFonts w:hint="default" w:asciiTheme="minorEastAsia" w:hAnsiTheme="minorEastAsia" w:eastAsiaTheme="minorEastAsia" w:cstheme="minorEastAsia"/>
          <w:sz w:val="28"/>
          <w:szCs w:val="28"/>
          <w:highlight w:val="none"/>
          <w:lang w:val="en-US" w:eastAsia="zh-CN"/>
        </w:rPr>
        <w:t>具有独立法人资格，并在人员、设备、资金等方面具有承担本</w:t>
      </w:r>
      <w:r>
        <w:rPr>
          <w:rFonts w:hint="eastAsia" w:asciiTheme="minorEastAsia" w:hAnsiTheme="minorEastAsia" w:cstheme="minorEastAsia"/>
          <w:sz w:val="28"/>
          <w:szCs w:val="28"/>
          <w:highlight w:val="none"/>
          <w:lang w:val="en-US" w:eastAsia="zh-CN"/>
        </w:rPr>
        <w:t>项目施工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（二）供应商须具有有效的施工劳务企业资质和安全生产许可证。</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3"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3"/>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5" w:edGrp="everyone"/>
      <w:r>
        <w:rPr>
          <w:rFonts w:hint="eastAsia" w:asciiTheme="minorEastAsia" w:hAnsiTheme="minorEastAsia" w:cstheme="minorEastAsia"/>
          <w:i/>
          <w:iCs/>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4</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17</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5"/>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color w:val="FF0000"/>
          <w:sz w:val="28"/>
          <w:szCs w:val="28"/>
          <w:highlight w:val="none"/>
          <w:u w:val="single"/>
          <w:lang w:val="en-US" w:eastAsia="zh-CN"/>
        </w:rPr>
        <w:t>2900元</w:t>
      </w:r>
      <w:r>
        <w:rPr>
          <w:rFonts w:hint="default" w:asciiTheme="minorEastAsia" w:hAnsiTheme="minorEastAsia" w:eastAsiaTheme="minorEastAsia" w:cstheme="minorEastAsia"/>
          <w:color w:val="FF0000"/>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施经理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日</w:t>
      </w:r>
    </w:p>
    <w:permEnd w:id="21"/>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16</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 2900元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AHTKJS-2026-020号保证金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文化公园首末站290kW光储充一体化项目劳务分包</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项目编号：AHTKJS-2026-020号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w:t>
            </w:r>
          </w:p>
          <w:permEnd w:id="36"/>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计划工</w:t>
            </w:r>
            <w:bookmarkStart w:id="317" w:name="_GoBack"/>
            <w:bookmarkEnd w:id="317"/>
            <w:r>
              <w:rPr>
                <w:rFonts w:hint="eastAsia" w:ascii="Times New Roman" w:hAnsi="Times New Roman" w:cs="Times New Roman"/>
                <w:color w:val="FF0000"/>
                <w:szCs w:val="21"/>
                <w:highlight w:val="none"/>
                <w:lang w:val="en-US" w:eastAsia="zh-CN"/>
              </w:rPr>
              <w:t>期满且工程无质量问题（或质量问题已解决）后退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44974500"/>
      <w:bookmarkStart w:id="1" w:name="_Toc152042308"/>
      <w:bookmarkStart w:id="2" w:name="_Toc152045532"/>
      <w:bookmarkStart w:id="3" w:name="_Toc296602423"/>
      <w:bookmarkStart w:id="4" w:name="_Toc246996178"/>
      <w:bookmarkStart w:id="5" w:name="_Toc246996921"/>
      <w:bookmarkStart w:id="6" w:name="_Toc247085692"/>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144974504"/>
      <w:bookmarkStart w:id="10" w:name="_Toc246996924"/>
      <w:bookmarkStart w:id="11" w:name="_Toc152045536"/>
      <w:bookmarkStart w:id="12" w:name="_Toc246996181"/>
      <w:bookmarkStart w:id="13" w:name="_Toc247085695"/>
      <w:bookmarkStart w:id="14" w:name="_Toc296602426"/>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47085696"/>
      <w:bookmarkStart w:id="19" w:name="_Toc296602427"/>
      <w:bookmarkStart w:id="20" w:name="_Toc152045537"/>
      <w:bookmarkStart w:id="21" w:name="_Toc246996182"/>
      <w:bookmarkStart w:id="22" w:name="_Toc246996925"/>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246996926"/>
      <w:bookmarkStart w:id="26" w:name="_Toc246996183"/>
      <w:bookmarkStart w:id="27" w:name="_Toc179632555"/>
      <w:bookmarkStart w:id="28" w:name="_Toc152042314"/>
      <w:bookmarkStart w:id="29" w:name="_Toc144974506"/>
      <w:bookmarkStart w:id="30"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246996930"/>
      <w:bookmarkStart w:id="33" w:name="_Toc179632560"/>
      <w:bookmarkStart w:id="34" w:name="_Toc296602432"/>
      <w:bookmarkStart w:id="35" w:name="_Toc152045542"/>
      <w:bookmarkStart w:id="36" w:name="_Toc152042318"/>
      <w:bookmarkStart w:id="37" w:name="_Toc144974510"/>
      <w:bookmarkStart w:id="38" w:name="_Toc246996187"/>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296602433"/>
      <w:bookmarkStart w:id="41" w:name="_Toc152042319"/>
      <w:bookmarkStart w:id="42" w:name="_Toc144974511"/>
      <w:bookmarkStart w:id="43" w:name="_Toc152045543"/>
      <w:bookmarkStart w:id="44" w:name="_Toc179632561"/>
      <w:bookmarkStart w:id="45" w:name="_Toc246996188"/>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152042320"/>
      <w:bookmarkStart w:id="49" w:name="_Toc179632562"/>
      <w:bookmarkStart w:id="50" w:name="_Toc246996932"/>
      <w:bookmarkStart w:id="51" w:name="_Toc152045544"/>
      <w:bookmarkStart w:id="52" w:name="_Toc296602434"/>
      <w:bookmarkStart w:id="53" w:name="_Toc247085703"/>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179632563"/>
      <w:bookmarkStart w:id="57" w:name="_Toc247085704"/>
      <w:bookmarkStart w:id="58" w:name="_Toc152042321"/>
      <w:bookmarkStart w:id="59" w:name="_Toc144974513"/>
      <w:bookmarkStart w:id="60" w:name="_Toc246996933"/>
      <w:bookmarkStart w:id="61" w:name="_Toc246996190"/>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152045546"/>
      <w:bookmarkStart w:id="65" w:name="_Toc296602436"/>
      <w:bookmarkStart w:id="66" w:name="_Toc246996934"/>
      <w:bookmarkStart w:id="67" w:name="_Toc144974514"/>
      <w:bookmarkStart w:id="68" w:name="_Toc152042322"/>
      <w:bookmarkStart w:id="69" w:name="_Toc247085705"/>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296602437"/>
      <w:bookmarkStart w:id="73" w:name="_Toc152045547"/>
      <w:bookmarkStart w:id="74" w:name="_Toc144974515"/>
      <w:bookmarkStart w:id="75" w:name="_Toc246996192"/>
      <w:bookmarkStart w:id="76" w:name="_Toc152042323"/>
      <w:bookmarkStart w:id="77" w:name="_Toc179632565"/>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152045548"/>
      <w:bookmarkStart w:id="81" w:name="_Toc144974516"/>
      <w:bookmarkStart w:id="82" w:name="_Toc246996936"/>
      <w:bookmarkStart w:id="83" w:name="_Toc152042324"/>
      <w:bookmarkStart w:id="84" w:name="_Toc179632566"/>
      <w:bookmarkStart w:id="85" w:name="_Toc247085707"/>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79632567"/>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937"/>
      <w:bookmarkStart w:id="93" w:name="_Toc296602439"/>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247085713"/>
      <w:bookmarkStart w:id="97" w:name="_Toc296602443"/>
      <w:bookmarkStart w:id="98" w:name="_Toc152045555"/>
      <w:bookmarkStart w:id="99" w:name="_Toc144974523"/>
      <w:bookmarkStart w:id="100" w:name="_Toc246996199"/>
      <w:bookmarkStart w:id="101" w:name="_Toc152042331"/>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6996943"/>
      <w:bookmarkStart w:id="105" w:name="_Toc152045556"/>
      <w:bookmarkStart w:id="106" w:name="_Toc144974524"/>
      <w:bookmarkStart w:id="107" w:name="_Toc179632574"/>
      <w:bookmarkStart w:id="108" w:name="_Toc296602444"/>
      <w:bookmarkStart w:id="109" w:name="_Toc152042332"/>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152042333"/>
      <w:bookmarkStart w:id="113" w:name="_Toc144974525"/>
      <w:bookmarkStart w:id="114" w:name="_Toc179632575"/>
      <w:bookmarkStart w:id="115" w:name="_Toc246996201"/>
      <w:bookmarkStart w:id="116" w:name="_Toc152045557"/>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7085716"/>
      <w:bookmarkStart w:id="119" w:name="_Toc152042334"/>
      <w:bookmarkStart w:id="120" w:name="_Toc246996202"/>
      <w:bookmarkStart w:id="121" w:name="_Toc179632576"/>
      <w:bookmarkStart w:id="122" w:name="_Toc246996945"/>
      <w:bookmarkStart w:id="123" w:name="_Toc152045558"/>
      <w:bookmarkStart w:id="124" w:name="_Toc14497452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247085717"/>
      <w:bookmarkStart w:id="128" w:name="_Toc152042335"/>
      <w:bookmarkStart w:id="129" w:name="_Toc246996946"/>
      <w:bookmarkStart w:id="130" w:name="_Toc144974527"/>
      <w:bookmarkStart w:id="131" w:name="_Toc246996203"/>
      <w:bookmarkStart w:id="132" w:name="_Toc152045559"/>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246996947"/>
      <w:bookmarkStart w:id="136" w:name="_Toc152042336"/>
      <w:bookmarkStart w:id="137" w:name="_Toc247085718"/>
      <w:bookmarkStart w:id="138" w:name="_Toc152045560"/>
      <w:bookmarkStart w:id="139" w:name="_Toc179632578"/>
      <w:bookmarkStart w:id="140" w:name="_Toc296602448"/>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144974529"/>
      <w:bookmarkStart w:id="144" w:name="_Toc247085719"/>
      <w:bookmarkStart w:id="145" w:name="_Toc246996205"/>
      <w:bookmarkStart w:id="146" w:name="_Toc152045561"/>
      <w:bookmarkStart w:id="147" w:name="_Toc296602449"/>
      <w:bookmarkStart w:id="148" w:name="_Toc179632579"/>
      <w:bookmarkStart w:id="149" w:name="_Toc152042337"/>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50"/>
      <w:bookmarkStart w:id="151" w:name="_Toc152045563"/>
      <w:bookmarkStart w:id="152" w:name="_Toc246996207"/>
      <w:bookmarkStart w:id="153" w:name="_Toc152042339"/>
      <w:bookmarkStart w:id="154" w:name="_Toc144974531"/>
      <w:bookmarkStart w:id="155" w:name="_Toc247085721"/>
      <w:bookmarkStart w:id="156" w:name="_Toc296602452"/>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52042342"/>
      <w:bookmarkStart w:id="160" w:name="_Toc152045566"/>
      <w:bookmarkStart w:id="161" w:name="_Toc247085724"/>
      <w:bookmarkStart w:id="162" w:name="_Toc296602455"/>
      <w:bookmarkStart w:id="163" w:name="_Toc246996953"/>
      <w:bookmarkStart w:id="164" w:name="_Toc179632584"/>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144974535"/>
      <w:bookmarkStart w:id="168" w:name="_Toc246996954"/>
      <w:bookmarkStart w:id="169" w:name="_Toc179632585"/>
      <w:bookmarkStart w:id="170" w:name="_Toc296602456"/>
      <w:bookmarkStart w:id="171" w:name="_Toc152042343"/>
      <w:bookmarkStart w:id="172" w:name="_Toc246996211"/>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179632586"/>
      <w:bookmarkStart w:id="177" w:name="_Toc152045568"/>
      <w:bookmarkStart w:id="178" w:name="_Toc152042344"/>
      <w:bookmarkStart w:id="179" w:name="_Toc246996955"/>
      <w:bookmarkStart w:id="180" w:name="_Toc144974536"/>
      <w:bookmarkStart w:id="181" w:name="_Toc246996212"/>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144974537"/>
      <w:bookmarkStart w:id="185" w:name="_Toc247085727"/>
      <w:bookmarkStart w:id="186" w:name="_Toc246996213"/>
      <w:bookmarkStart w:id="187" w:name="_Toc246996956"/>
      <w:bookmarkStart w:id="188" w:name="_Toc152042345"/>
      <w:bookmarkStart w:id="189" w:name="_Toc179632587"/>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152045575"/>
      <w:bookmarkStart w:id="194" w:name="_Toc246996962"/>
      <w:bookmarkStart w:id="195" w:name="_Toc296590983"/>
      <w:bookmarkStart w:id="196" w:name="_Toc152042351"/>
      <w:bookmarkStart w:id="197" w:name="_Toc247085733"/>
      <w:bookmarkStart w:id="198" w:name="_Toc179632593"/>
      <w:bookmarkStart w:id="199" w:name="_Toc246996219"/>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7085734"/>
      <w:bookmarkStart w:id="202" w:name="_Toc144974544"/>
      <w:bookmarkStart w:id="203" w:name="_Toc179632594"/>
      <w:bookmarkStart w:id="204" w:name="_Toc152045576"/>
      <w:bookmarkStart w:id="205" w:name="_Toc152042352"/>
      <w:bookmarkStart w:id="206" w:name="_Toc246996220"/>
      <w:bookmarkStart w:id="207" w:name="_Toc296602463"/>
      <w:bookmarkStart w:id="208" w:name="_Toc2469969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296602464"/>
      <w:bookmarkStart w:id="211" w:name="_Toc247085735"/>
      <w:bookmarkStart w:id="212" w:name="_Toc246996964"/>
      <w:bookmarkStart w:id="213" w:name="_Toc246996221"/>
      <w:bookmarkStart w:id="214" w:name="_Toc179632595"/>
      <w:bookmarkStart w:id="215" w:name="_Toc144974545"/>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246996232"/>
            <w:bookmarkStart w:id="219" w:name="_Toc246996975"/>
            <w:bookmarkStart w:id="220" w:name="_Toc152042366"/>
            <w:bookmarkStart w:id="221" w:name="_Toc144974556"/>
            <w:bookmarkStart w:id="222" w:name="_Toc152045589"/>
            <w:bookmarkStart w:id="223" w:name="_Toc179632607"/>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979"/>
      <w:bookmarkStart w:id="226" w:name="_Toc152042370"/>
      <w:bookmarkStart w:id="227" w:name="_Toc152045593"/>
      <w:bookmarkStart w:id="228" w:name="_Toc144974560"/>
      <w:bookmarkStart w:id="229" w:name="_Toc296602481"/>
      <w:bookmarkStart w:id="230" w:name="_Toc246996236"/>
      <w:bookmarkStart w:id="231" w:name="_Toc247085751"/>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246996982"/>
      <w:bookmarkStart w:id="236" w:name="_Toc246996239"/>
      <w:bookmarkStart w:id="237" w:name="_Toc152045596"/>
      <w:bookmarkStart w:id="238" w:name="_Toc152042373"/>
      <w:bookmarkStart w:id="239" w:name="_Toc179632614"/>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无预付款，竣工验收经供电部门并网后支付至合同价的70%，工程结算审核结束后30日内，支付至工程审核审定价款的95%(含已支付进度款)，余款5%为运维金，待两年免费运维期满且经考核合格后无息付清余款。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259D7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8F95D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6C618C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533CC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521F60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如因业主原因导致工程款未到位，成交人允许采购人延期支付工程款，且成交人不得以此为由向采购人索取任何费用</w:t>
            </w:r>
            <w:r>
              <w:rPr>
                <w:rFonts w:hint="eastAsia" w:ascii="Times New Roman" w:hAnsi="Times New Roman" w:cs="Times New Roman"/>
                <w:kern w:val="0"/>
                <w:sz w:val="24"/>
                <w:szCs w:val="24"/>
                <w:highlight w:val="none"/>
                <w:shd w:val="clear" w:color="auto" w:fill="auto"/>
                <w:vertAlign w:val="baseline"/>
                <w:lang w:val="en-US" w:eastAsia="zh-CN"/>
              </w:rPr>
              <w:t>。</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240BAA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内容：包括但不限于承包范围内所包含的所有劳务工作、图纸及工程量清单范围内人工和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5C0908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包括但不限于相关物资接收、卸车、倒运、仓储、保管，测量放线，原地面及停车位破除及恢复、相关绿化移栽及恢复、屋面防水卷材铺设、水泥墩摆放、车棚基础土方开挖回填、余方弃置、基础回填及夯实、碎石摊铺、基础模板制作与安装、钢筋制作及绑扎、预埋件安装、混凝土浇筑、混凝土薄膜覆盖及养护、车棚钢柱、钢梁、钢支撑、钢拉条、檩条、水槽等安装，光伏组件安装，逆变器、并网柜（箱）、接线箱、储能设备、充电桩设备及其基础施工，光伏支架制作与安装，导水槽安装、围栏安装，母线槽安装，桥架安装，防雷接地系统，电缆沟土石方工程，电缆井施工，线路标志、低压电缆敷设及配管安装，清洗系统设备安装，监控系统安装、数据采集器安装、原有并网柜柜体开关改造、原有充电桩迁移等所有劳务工作，具体以设计单位出具的签字盖章版施工图纸为准；施工，协调，配合调试、验收、并网、移交，施工范围内工作的工程质量保证、工程质量保修期限的服务；2年免费运维；清扫道路、交通秩序维护等满足现场要求的施工工作。</w:t>
      </w:r>
    </w:p>
    <w:p w14:paraId="090CF2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采购范围没有明确描述，但根据施工图纸、标准/规范、设计与施工方案等合同范围内应属于成交人完成本分包工程应当完成的工作内容。</w:t>
      </w:r>
    </w:p>
    <w:p w14:paraId="393244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采购人提供的材料由成交人负责提报用量和保管，超过清单及超过合理损耗量部分由成交人承担。</w:t>
      </w:r>
    </w:p>
    <w:p w14:paraId="73421E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2.合同外发生的零星工程，成交人应积极配合施工，采购人按照大工290元每日每人、小工150元每日每人的标准，据实与供应商结算。</w:t>
      </w:r>
    </w:p>
    <w:p w14:paraId="3CCEEE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3.拟派人员每月在劳务作业现场的时间，每月在工地不得少于24天，每少一天，采购人有权按照1000元/天的违约金对成交人进行处罚。</w:t>
      </w:r>
    </w:p>
    <w:p w14:paraId="289AC2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4.成交人所有特种作业人员必须持证上岗。</w:t>
      </w:r>
    </w:p>
    <w:p w14:paraId="26B30E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5.成交人需购买团体意外保险，如采购人发现成交人未购买保险，则采购人有权代为成交人购买并从当期成交人应得工程款中予以据实扣除。</w:t>
      </w:r>
    </w:p>
    <w:p w14:paraId="3E142B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6.供电接收方案及并网发电验收等事项协调费用成交人需综合考虑进响应报价，后期采购人对此不再单独支付。</w:t>
      </w:r>
    </w:p>
    <w:p w14:paraId="59DDB3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7.成交后成交人需提供项目负责人及专职安全员各1名统一纳入项目管理。</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后提供的辅助材料范围：石棉橡胶板、塑料薄膜、聚四氟乙烯生料带、三色塑料带、钢钉、对拉螺栓、六角螺栓、膨胀螺栓、低碳钢焊条、砂纸、铁钉、垫铁、塑料胀管、钢压条、光漆、调和漆、防锈漆、粘结剂、自粘性橡胶带、石棉灰、输水软管、橡胶软管、黑玛钢活接头、黑玛钢六角内接头、黑玛钢弯头、固定卡子、黑玛钢管箍、电气绝缘胶带、不锈钢轧带、胶木板、难燃塑料管卡子、铝接线端子、铜接地端子带螺栓、电缆吊挂、镀锌电缆卡子、位号牌、养护土工布、B1级橡塑保温材料、成品管卡、压力表、电力电缆头、MC4公母插头、热缩终端头、热缩套管、桥架跨接线、接地线等以及单项材料项目总使用量金额不超过500元的材料。</w:t>
      </w:r>
    </w:p>
    <w:p w14:paraId="0A0BD6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9、工程量清单</w:t>
      </w:r>
    </w:p>
    <w:p w14:paraId="029613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tbl>
      <w:tblPr>
        <w:tblStyle w:val="16"/>
        <w:tblW w:w="5215" w:type="pct"/>
        <w:tblInd w:w="-261" w:type="dxa"/>
        <w:tblLayout w:type="fixed"/>
        <w:tblCellMar>
          <w:top w:w="0" w:type="dxa"/>
          <w:left w:w="108" w:type="dxa"/>
          <w:bottom w:w="0" w:type="dxa"/>
          <w:right w:w="108" w:type="dxa"/>
        </w:tblCellMar>
      </w:tblPr>
      <w:tblGrid>
        <w:gridCol w:w="912"/>
        <w:gridCol w:w="1342"/>
        <w:gridCol w:w="1415"/>
        <w:gridCol w:w="796"/>
        <w:gridCol w:w="1829"/>
        <w:gridCol w:w="1829"/>
        <w:gridCol w:w="767"/>
      </w:tblGrid>
      <w:tr w14:paraId="136625B1">
        <w:tblPrEx>
          <w:tblCellMar>
            <w:top w:w="0" w:type="dxa"/>
            <w:left w:w="108" w:type="dxa"/>
            <w:bottom w:w="0" w:type="dxa"/>
            <w:right w:w="108" w:type="dxa"/>
          </w:tblCellMar>
        </w:tblPrEx>
        <w:trPr>
          <w:trHeight w:val="593" w:hRule="atLeast"/>
        </w:trPr>
        <w:tc>
          <w:tcPr>
            <w:tcW w:w="512" w:type="pct"/>
            <w:tcBorders>
              <w:top w:val="single" w:color="000000" w:sz="4" w:space="0"/>
              <w:left w:val="single" w:color="000000" w:sz="4" w:space="0"/>
              <w:bottom w:val="single" w:color="000000" w:sz="4" w:space="0"/>
              <w:right w:val="single" w:color="000000" w:sz="4" w:space="0"/>
            </w:tcBorders>
            <w:noWrap/>
            <w:vAlign w:val="center"/>
          </w:tcPr>
          <w:p w14:paraId="6476185E">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754" w:type="pct"/>
            <w:tcBorders>
              <w:top w:val="single" w:color="000000" w:sz="4" w:space="0"/>
              <w:left w:val="single" w:color="000000" w:sz="4" w:space="0"/>
              <w:bottom w:val="single" w:color="000000" w:sz="4" w:space="0"/>
              <w:right w:val="single" w:color="000000" w:sz="4" w:space="0"/>
            </w:tcBorders>
            <w:noWrap/>
            <w:vAlign w:val="center"/>
          </w:tcPr>
          <w:p w14:paraId="449F2870">
            <w:pPr>
              <w:widowControl/>
              <w:ind w:left="0" w:leftChars="0" w:firstLine="0" w:firstLineChars="0"/>
              <w:jc w:val="center"/>
              <w:textAlignment w:val="center"/>
              <w:rPr>
                <w:rFonts w:hint="eastAsia" w:ascii="宋体" w:hAnsi="宋体" w:eastAsia="宋体" w:cs="宋体"/>
                <w:b/>
                <w:bCs/>
                <w:color w:val="000000"/>
                <w:sz w:val="22"/>
                <w:szCs w:val="22"/>
                <w:lang w:eastAsia="zh-CN"/>
              </w:rPr>
            </w:pPr>
            <w:r>
              <w:rPr>
                <w:rFonts w:hint="eastAsia" w:ascii="宋体" w:hAnsi="宋体" w:eastAsia="宋体" w:cs="宋体"/>
                <w:b/>
                <w:bCs/>
                <w:color w:val="000000"/>
                <w:kern w:val="0"/>
                <w:sz w:val="22"/>
                <w:szCs w:val="22"/>
                <w:lang w:val="en-US" w:eastAsia="zh-CN" w:bidi="ar"/>
              </w:rPr>
              <w:t>名称</w:t>
            </w:r>
          </w:p>
        </w:tc>
        <w:tc>
          <w:tcPr>
            <w:tcW w:w="795" w:type="pct"/>
            <w:tcBorders>
              <w:top w:val="single" w:color="000000" w:sz="4" w:space="0"/>
              <w:left w:val="single" w:color="000000" w:sz="4" w:space="0"/>
              <w:bottom w:val="nil"/>
              <w:right w:val="single" w:color="000000" w:sz="4" w:space="0"/>
            </w:tcBorders>
            <w:noWrap/>
            <w:vAlign w:val="center"/>
          </w:tcPr>
          <w:p w14:paraId="3EE7A503">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kern w:val="0"/>
                <w:sz w:val="22"/>
                <w:szCs w:val="22"/>
                <w:lang w:val="en-US" w:eastAsia="zh-CN" w:bidi="ar"/>
              </w:rPr>
              <w:t>工程量（Wp）</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70C7B663">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1028" w:type="pct"/>
            <w:tcBorders>
              <w:top w:val="single" w:color="000000" w:sz="4" w:space="0"/>
              <w:left w:val="single" w:color="000000" w:sz="4" w:space="0"/>
              <w:bottom w:val="single" w:color="000000" w:sz="4" w:space="0"/>
              <w:right w:val="single" w:color="000000" w:sz="4" w:space="0"/>
            </w:tcBorders>
            <w:noWrap/>
            <w:vAlign w:val="center"/>
          </w:tcPr>
          <w:p w14:paraId="1429F5B8">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sz w:val="22"/>
                <w:szCs w:val="22"/>
                <w:lang w:val="en-US" w:eastAsia="zh-CN"/>
              </w:rPr>
              <w:t>含税单价</w:t>
            </w:r>
            <w:r>
              <w:rPr>
                <w:rFonts w:hint="eastAsia" w:ascii="宋体" w:hAnsi="宋体" w:eastAsia="宋体" w:cs="宋体"/>
                <w:b/>
                <w:bCs/>
                <w:color w:val="000000"/>
                <w:kern w:val="0"/>
                <w:sz w:val="22"/>
                <w:szCs w:val="22"/>
                <w:lang w:val="en-US" w:eastAsia="zh-CN" w:bidi="ar"/>
              </w:rPr>
              <w:t>（元/Wp）</w:t>
            </w:r>
          </w:p>
        </w:tc>
        <w:tc>
          <w:tcPr>
            <w:tcW w:w="1028" w:type="pct"/>
            <w:tcBorders>
              <w:top w:val="single" w:color="000000" w:sz="4" w:space="0"/>
              <w:left w:val="single" w:color="000000" w:sz="4" w:space="0"/>
              <w:bottom w:val="single" w:color="000000" w:sz="4" w:space="0"/>
              <w:right w:val="single" w:color="000000" w:sz="4" w:space="0"/>
            </w:tcBorders>
            <w:noWrap/>
            <w:vAlign w:val="center"/>
          </w:tcPr>
          <w:p w14:paraId="5E49A706">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26A137E">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4C3422E4">
        <w:tblPrEx>
          <w:tblCellMar>
            <w:top w:w="0" w:type="dxa"/>
            <w:left w:w="108" w:type="dxa"/>
            <w:bottom w:w="0" w:type="dxa"/>
            <w:right w:w="108" w:type="dxa"/>
          </w:tblCellMar>
        </w:tblPrEx>
        <w:trPr>
          <w:trHeight w:val="593"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F654">
            <w:pPr>
              <w:ind w:left="0" w:leftChars="0" w:firstLine="0" w:firstLineChars="0"/>
              <w:jc w:val="center"/>
              <w:rPr>
                <w:rFonts w:hint="eastAsia"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1</w:t>
            </w: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29C02">
            <w:pPr>
              <w:ind w:left="0" w:leftChars="0" w:firstLine="0" w:firstLineChars="0"/>
              <w:jc w:val="center"/>
              <w:rPr>
                <w:rFonts w:hint="eastAsia" w:ascii="TimesNewRomanPSMT" w:hAnsi="TimesNewRomanPSMT" w:eastAsia="宋体" w:cs="TimesNewRomanPSMT"/>
                <w:b w:val="0"/>
                <w:bCs w:val="0"/>
                <w:color w:val="000000"/>
                <w:sz w:val="24"/>
                <w:szCs w:val="24"/>
                <w:lang w:val="en-US" w:eastAsia="en-US"/>
              </w:rPr>
            </w:pPr>
            <w:r>
              <w:rPr>
                <w:rFonts w:hint="eastAsia" w:ascii="TimesNewRomanPSMT" w:hAnsi="TimesNewRomanPSMT" w:eastAsia="宋体" w:cs="TimesNewRomanPSMT"/>
                <w:b w:val="0"/>
                <w:bCs w:val="0"/>
                <w:color w:val="000000"/>
                <w:sz w:val="24"/>
                <w:szCs w:val="24"/>
                <w:lang w:val="en-US" w:eastAsia="zh-CN"/>
              </w:rPr>
              <w:t>劳务施工</w:t>
            </w:r>
          </w:p>
        </w:tc>
        <w:tc>
          <w:tcPr>
            <w:tcW w:w="7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CD7D4">
            <w:pPr>
              <w:ind w:left="0" w:leftChars="0" w:firstLine="0" w:firstLineChars="0"/>
              <w:jc w:val="center"/>
              <w:rPr>
                <w:rFonts w:hint="default"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306375</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25FC">
            <w:pPr>
              <w:ind w:left="0" w:leftChars="0" w:firstLine="0" w:firstLineChars="0"/>
              <w:jc w:val="center"/>
              <w:rPr>
                <w:rFonts w:hint="eastAsia"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3%</w:t>
            </w:r>
          </w:p>
        </w:tc>
        <w:tc>
          <w:tcPr>
            <w:tcW w:w="10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40CD3">
            <w:pPr>
              <w:ind w:left="0" w:leftChars="0" w:firstLine="0" w:firstLineChars="0"/>
              <w:jc w:val="center"/>
              <w:rPr>
                <w:rFonts w:hint="default" w:ascii="宋体" w:hAnsi="宋体" w:eastAsia="宋体" w:cs="宋体"/>
                <w:color w:val="000000"/>
                <w:sz w:val="22"/>
                <w:szCs w:val="22"/>
                <w:lang w:val="en-US" w:eastAsia="zh-CN" w:bidi="ar-SA"/>
              </w:rPr>
            </w:pPr>
          </w:p>
        </w:tc>
        <w:tc>
          <w:tcPr>
            <w:tcW w:w="10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CED04">
            <w:pPr>
              <w:ind w:left="0" w:leftChars="0" w:firstLine="0" w:firstLineChars="0"/>
              <w:jc w:val="center"/>
              <w:rPr>
                <w:rFonts w:hint="default" w:ascii="宋体" w:hAnsi="宋体" w:eastAsia="宋体" w:cs="宋体"/>
                <w:color w:val="000000"/>
                <w:sz w:val="22"/>
                <w:szCs w:val="22"/>
                <w:lang w:val="en-US" w:eastAsia="zh-CN" w:bidi="ar-SA"/>
              </w:rPr>
            </w:pP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BD834">
            <w:pPr>
              <w:ind w:left="0" w:leftChars="0" w:firstLine="0" w:firstLineChars="0"/>
              <w:jc w:val="center"/>
              <w:rPr>
                <w:rFonts w:ascii="宋体" w:hAnsi="宋体" w:eastAsia="宋体" w:cs="宋体"/>
                <w:color w:val="000000"/>
                <w:sz w:val="22"/>
                <w:szCs w:val="22"/>
                <w:lang w:val="en-US" w:eastAsia="en-US" w:bidi="ar-SA"/>
              </w:rPr>
            </w:pPr>
          </w:p>
        </w:tc>
      </w:tr>
      <w:tr w14:paraId="0FECB046">
        <w:tblPrEx>
          <w:tblCellMar>
            <w:top w:w="0" w:type="dxa"/>
            <w:left w:w="108" w:type="dxa"/>
            <w:bottom w:w="0" w:type="dxa"/>
            <w:right w:w="108" w:type="dxa"/>
          </w:tblCellMar>
        </w:tblPrEx>
        <w:trPr>
          <w:trHeight w:val="593" w:hRule="atLeast"/>
        </w:trPr>
        <w:tc>
          <w:tcPr>
            <w:tcW w:w="512" w:type="pct"/>
            <w:tcBorders>
              <w:top w:val="single" w:color="000000" w:sz="4" w:space="0"/>
              <w:left w:val="single" w:color="000000" w:sz="4" w:space="0"/>
              <w:bottom w:val="single" w:color="000000" w:sz="4" w:space="0"/>
              <w:right w:val="single" w:color="auto" w:sz="4" w:space="0"/>
            </w:tcBorders>
            <w:noWrap/>
            <w:vAlign w:val="center"/>
          </w:tcPr>
          <w:p w14:paraId="159C54CB">
            <w:pPr>
              <w:rPr>
                <w:rFonts w:ascii="宋体" w:hAnsi="宋体" w:eastAsia="宋体" w:cs="宋体"/>
                <w:color w:val="000000"/>
                <w:sz w:val="24"/>
                <w:szCs w:val="22"/>
              </w:rPr>
            </w:pPr>
          </w:p>
        </w:tc>
        <w:tc>
          <w:tcPr>
            <w:tcW w:w="754" w:type="pct"/>
            <w:tcBorders>
              <w:top w:val="single" w:color="auto" w:sz="4" w:space="0"/>
              <w:left w:val="single" w:color="auto" w:sz="4" w:space="0"/>
              <w:bottom w:val="single" w:color="auto" w:sz="4" w:space="0"/>
              <w:right w:val="single" w:color="auto" w:sz="4" w:space="0"/>
            </w:tcBorders>
            <w:noWrap/>
            <w:vAlign w:val="center"/>
          </w:tcPr>
          <w:p w14:paraId="16CE527C">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3732" w:type="pct"/>
            <w:gridSpan w:val="5"/>
            <w:tcBorders>
              <w:top w:val="single" w:color="000000" w:sz="4" w:space="0"/>
              <w:left w:val="single" w:color="auto" w:sz="4" w:space="0"/>
              <w:bottom w:val="single" w:color="000000" w:sz="4" w:space="0"/>
              <w:right w:val="single" w:color="000000" w:sz="4" w:space="0"/>
            </w:tcBorders>
            <w:noWrap/>
            <w:vAlign w:val="center"/>
          </w:tcPr>
          <w:p w14:paraId="548CB49E">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val="en-US" w:eastAsia="zh-CN" w:bidi="ar"/>
              </w:rPr>
              <w:t xml:space="preserve"> 3 </w:t>
            </w:r>
            <w:r>
              <w:rPr>
                <w:rFonts w:hint="eastAsia" w:ascii="宋体" w:hAnsi="宋体" w:eastAsia="宋体" w:cs="宋体"/>
                <w:b/>
                <w:bCs/>
                <w:color w:val="000000"/>
                <w:kern w:val="0"/>
                <w:sz w:val="24"/>
                <w:szCs w:val="22"/>
                <w:u w:val="single"/>
                <w:lang w:bidi="ar"/>
              </w:rPr>
              <w:t>%增值税专用发票</w:t>
            </w:r>
          </w:p>
        </w:tc>
      </w:tr>
      <w:tr w14:paraId="1BDD03A3">
        <w:tblPrEx>
          <w:tblCellMar>
            <w:top w:w="0" w:type="dxa"/>
            <w:left w:w="108" w:type="dxa"/>
            <w:bottom w:w="0" w:type="dxa"/>
            <w:right w:w="108" w:type="dxa"/>
          </w:tblCellMar>
        </w:tblPrEx>
        <w:trPr>
          <w:trHeight w:val="915" w:hRule="atLeast"/>
        </w:trPr>
        <w:tc>
          <w:tcPr>
            <w:tcW w:w="5000" w:type="pct"/>
            <w:gridSpan w:val="7"/>
            <w:tcBorders>
              <w:top w:val="single" w:color="000000" w:sz="4" w:space="0"/>
              <w:left w:val="single" w:color="000000" w:sz="4" w:space="0"/>
              <w:bottom w:val="single" w:color="000000" w:sz="4" w:space="0"/>
              <w:right w:val="single" w:color="000000" w:sz="4" w:space="0"/>
            </w:tcBorders>
            <w:vAlign w:val="center"/>
          </w:tcPr>
          <w:p w14:paraId="6CB7D6C4">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供应商需</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69D615D2">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6079FDEF">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bidi="ar"/>
              </w:rPr>
              <w:t>未尽事宜详见设计图纸、规范文件等相关资料，满足</w:t>
            </w:r>
            <w:r>
              <w:rPr>
                <w:rFonts w:hint="eastAsia" w:ascii="宋体" w:hAnsi="宋体" w:eastAsia="宋体" w:cs="宋体"/>
                <w:color w:val="000000"/>
                <w:kern w:val="0"/>
                <w:sz w:val="24"/>
                <w:szCs w:val="22"/>
                <w:lang w:val="en-US" w:eastAsia="zh-CN" w:bidi="ar"/>
              </w:rPr>
              <w:t>采购</w:t>
            </w:r>
            <w:r>
              <w:rPr>
                <w:rFonts w:hint="eastAsia" w:ascii="宋体" w:hAnsi="宋体" w:eastAsia="宋体" w:cs="宋体"/>
                <w:color w:val="000000"/>
                <w:kern w:val="0"/>
                <w:sz w:val="24"/>
                <w:szCs w:val="22"/>
                <w:lang w:bidi="ar"/>
              </w:rPr>
              <w:t>人要求</w:t>
            </w:r>
            <w:r>
              <w:rPr>
                <w:rFonts w:ascii="宋体" w:hAnsi="宋体" w:eastAsia="宋体" w:cs="宋体"/>
                <w:color w:val="000000"/>
                <w:kern w:val="0"/>
                <w:sz w:val="24"/>
                <w:szCs w:val="22"/>
                <w:lang w:bidi="ar"/>
              </w:rPr>
              <w:t>。</w:t>
            </w:r>
          </w:p>
        </w:tc>
      </w:tr>
    </w:tbl>
    <w:p w14:paraId="10545BF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文化公园首末站290kW光储充一体化项目劳务分包</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AHTKJS-2026-020号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300835209"/>
      <w:bookmarkStart w:id="243" w:name="_Toc144974856"/>
      <w:bookmarkStart w:id="244" w:name="_Toc152042576"/>
      <w:bookmarkStart w:id="245" w:name="_Toc24751424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152045788"/>
      <w:bookmarkStart w:id="249" w:name="_Toc300835210"/>
      <w:bookmarkStart w:id="250" w:name="_Toc247514247"/>
      <w:bookmarkStart w:id="251" w:name="_Toc144974857"/>
      <w:bookmarkStart w:id="252"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52042579"/>
      <w:bookmarkStart w:id="255" w:name="_Toc144974859"/>
      <w:bookmarkStart w:id="256" w:name="_Toc152045790"/>
      <w:bookmarkStart w:id="257" w:name="_Toc247514249"/>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文化公园首末站290kW光储充一体化项目劳务分包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AHTKJS-2026-020号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每瓦峰</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元/Wp</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，计划工期：</w:t>
      </w:r>
      <w:r>
        <w:rPr>
          <w:rFonts w:hint="eastAsia" w:ascii="Times New Roman" w:hAnsi="Times New Roman" w:cs="Times New Roman"/>
          <w:color w:val="FF0000"/>
          <w:szCs w:val="21"/>
          <w:u w:val="single"/>
          <w:lang w:val="en-US" w:eastAsia="zh-CN"/>
        </w:rPr>
        <w:t>自合同签订之日起40日历天，按合同约定完成本项目全部工作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5791"/>
      <w:bookmarkStart w:id="260" w:name="_Toc144974860"/>
      <w:bookmarkStart w:id="261" w:name="_Toc247527831"/>
      <w:bookmarkStart w:id="262" w:name="_Toc300835213"/>
      <w:bookmarkStart w:id="263" w:name="_Toc247514283"/>
      <w:bookmarkStart w:id="264" w:name="_Toc15204258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300835214"/>
      <w:bookmarkStart w:id="267" w:name="_Toc247527832"/>
      <w:bookmarkStart w:id="268" w:name="_Toc144974861"/>
      <w:bookmarkStart w:id="269" w:name="_Toc152042581"/>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152042583"/>
      <w:bookmarkStart w:id="273" w:name="_Toc300835216"/>
      <w:bookmarkStart w:id="274" w:name="_Toc247514286"/>
      <w:bookmarkStart w:id="275" w:name="_Toc144974862"/>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300835218"/>
      <w:bookmarkStart w:id="280" w:name="_Toc152045795"/>
      <w:bookmarkStart w:id="281" w:name="_Toc247527835"/>
      <w:bookmarkStart w:id="282" w:name="_Toc144974863"/>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5173" w:type="pct"/>
        <w:tblInd w:w="-189" w:type="dxa"/>
        <w:tblLayout w:type="fixed"/>
        <w:tblCellMar>
          <w:top w:w="0" w:type="dxa"/>
          <w:left w:w="108" w:type="dxa"/>
          <w:bottom w:w="0" w:type="dxa"/>
          <w:right w:w="108" w:type="dxa"/>
        </w:tblCellMar>
      </w:tblPr>
      <w:tblGrid>
        <w:gridCol w:w="840"/>
        <w:gridCol w:w="1342"/>
        <w:gridCol w:w="1415"/>
        <w:gridCol w:w="796"/>
        <w:gridCol w:w="1829"/>
        <w:gridCol w:w="1829"/>
        <w:gridCol w:w="767"/>
      </w:tblGrid>
      <w:tr w14:paraId="50C2DE47">
        <w:tblPrEx>
          <w:tblCellMar>
            <w:top w:w="0" w:type="dxa"/>
            <w:left w:w="108" w:type="dxa"/>
            <w:bottom w:w="0" w:type="dxa"/>
            <w:right w:w="108" w:type="dxa"/>
          </w:tblCellMar>
        </w:tblPrEx>
        <w:trPr>
          <w:trHeight w:val="593" w:hRule="atLeast"/>
        </w:trPr>
        <w:tc>
          <w:tcPr>
            <w:tcW w:w="476" w:type="pct"/>
            <w:tcBorders>
              <w:top w:val="single" w:color="000000" w:sz="4" w:space="0"/>
              <w:left w:val="single" w:color="000000" w:sz="4" w:space="0"/>
              <w:bottom w:val="single" w:color="000000" w:sz="4" w:space="0"/>
              <w:right w:val="single" w:color="000000" w:sz="4" w:space="0"/>
            </w:tcBorders>
            <w:noWrap/>
            <w:vAlign w:val="center"/>
          </w:tcPr>
          <w:p w14:paraId="0810FCC3">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760" w:type="pct"/>
            <w:tcBorders>
              <w:top w:val="single" w:color="000000" w:sz="4" w:space="0"/>
              <w:left w:val="single" w:color="000000" w:sz="4" w:space="0"/>
              <w:bottom w:val="single" w:color="000000" w:sz="4" w:space="0"/>
              <w:right w:val="single" w:color="000000" w:sz="4" w:space="0"/>
            </w:tcBorders>
            <w:noWrap/>
            <w:vAlign w:val="center"/>
          </w:tcPr>
          <w:p w14:paraId="74805888">
            <w:pPr>
              <w:widowControl/>
              <w:ind w:left="0" w:leftChars="0" w:firstLine="0" w:firstLineChars="0"/>
              <w:jc w:val="center"/>
              <w:textAlignment w:val="center"/>
              <w:rPr>
                <w:rFonts w:hint="eastAsia" w:ascii="宋体" w:hAnsi="宋体" w:eastAsia="宋体" w:cs="宋体"/>
                <w:b/>
                <w:bCs/>
                <w:color w:val="000000"/>
                <w:sz w:val="22"/>
                <w:szCs w:val="22"/>
                <w:lang w:eastAsia="zh-CN"/>
              </w:rPr>
            </w:pPr>
            <w:r>
              <w:rPr>
                <w:rFonts w:hint="eastAsia" w:ascii="宋体" w:hAnsi="宋体" w:eastAsia="宋体" w:cs="宋体"/>
                <w:b/>
                <w:bCs/>
                <w:color w:val="000000"/>
                <w:kern w:val="0"/>
                <w:sz w:val="22"/>
                <w:szCs w:val="22"/>
                <w:lang w:val="en-US" w:eastAsia="zh-CN" w:bidi="ar"/>
              </w:rPr>
              <w:t>名称</w:t>
            </w:r>
          </w:p>
        </w:tc>
        <w:tc>
          <w:tcPr>
            <w:tcW w:w="802" w:type="pct"/>
            <w:tcBorders>
              <w:top w:val="single" w:color="000000" w:sz="4" w:space="0"/>
              <w:left w:val="single" w:color="000000" w:sz="4" w:space="0"/>
              <w:bottom w:val="nil"/>
              <w:right w:val="single" w:color="000000" w:sz="4" w:space="0"/>
            </w:tcBorders>
            <w:noWrap/>
            <w:vAlign w:val="center"/>
          </w:tcPr>
          <w:p w14:paraId="508BA61A">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kern w:val="0"/>
                <w:sz w:val="22"/>
                <w:szCs w:val="22"/>
                <w:lang w:val="en-US" w:eastAsia="zh-CN" w:bidi="ar"/>
              </w:rPr>
              <w:t>工程量（Wp）</w:t>
            </w:r>
          </w:p>
        </w:tc>
        <w:tc>
          <w:tcPr>
            <w:tcW w:w="451" w:type="pct"/>
            <w:tcBorders>
              <w:top w:val="single" w:color="000000" w:sz="4" w:space="0"/>
              <w:left w:val="single" w:color="000000" w:sz="4" w:space="0"/>
              <w:bottom w:val="single" w:color="000000" w:sz="4" w:space="0"/>
              <w:right w:val="single" w:color="000000" w:sz="4" w:space="0"/>
            </w:tcBorders>
            <w:noWrap/>
            <w:vAlign w:val="center"/>
          </w:tcPr>
          <w:p w14:paraId="5A75C10F">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71F07C11">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sz w:val="22"/>
                <w:szCs w:val="22"/>
                <w:lang w:val="en-US" w:eastAsia="zh-CN"/>
              </w:rPr>
              <w:t>含税单价</w:t>
            </w:r>
            <w:r>
              <w:rPr>
                <w:rFonts w:hint="eastAsia" w:ascii="宋体" w:hAnsi="宋体" w:eastAsia="宋体" w:cs="宋体"/>
                <w:b/>
                <w:bCs/>
                <w:color w:val="000000"/>
                <w:kern w:val="0"/>
                <w:sz w:val="22"/>
                <w:szCs w:val="22"/>
                <w:lang w:val="en-US" w:eastAsia="zh-CN" w:bidi="ar"/>
              </w:rPr>
              <w:t>（元/Wp）</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4A1E1EDE">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434" w:type="pct"/>
            <w:tcBorders>
              <w:top w:val="single" w:color="000000" w:sz="4" w:space="0"/>
              <w:left w:val="single" w:color="000000" w:sz="4" w:space="0"/>
              <w:bottom w:val="single" w:color="000000" w:sz="4" w:space="0"/>
              <w:right w:val="single" w:color="000000" w:sz="4" w:space="0"/>
            </w:tcBorders>
            <w:noWrap/>
            <w:vAlign w:val="center"/>
          </w:tcPr>
          <w:p w14:paraId="43E0BFC2">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6DCA2DAD">
        <w:tblPrEx>
          <w:tblCellMar>
            <w:top w:w="0" w:type="dxa"/>
            <w:left w:w="108" w:type="dxa"/>
            <w:bottom w:w="0" w:type="dxa"/>
            <w:right w:w="108" w:type="dxa"/>
          </w:tblCellMar>
        </w:tblPrEx>
        <w:trPr>
          <w:trHeight w:val="593" w:hRule="atLeast"/>
        </w:trPr>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3BE1D">
            <w:pPr>
              <w:ind w:left="0" w:leftChars="0" w:firstLine="0" w:firstLineChars="0"/>
              <w:jc w:val="center"/>
              <w:rPr>
                <w:rFonts w:hint="eastAsia"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DF609">
            <w:pPr>
              <w:ind w:left="0" w:leftChars="0" w:firstLine="0" w:firstLineChars="0"/>
              <w:jc w:val="center"/>
              <w:rPr>
                <w:rFonts w:hint="eastAsia" w:ascii="TimesNewRomanPSMT" w:hAnsi="TimesNewRomanPSMT" w:eastAsia="宋体" w:cs="TimesNewRomanPSMT"/>
                <w:b w:val="0"/>
                <w:bCs w:val="0"/>
                <w:color w:val="000000"/>
                <w:sz w:val="24"/>
                <w:szCs w:val="24"/>
                <w:lang w:val="en-US" w:eastAsia="en-US"/>
              </w:rPr>
            </w:pPr>
            <w:r>
              <w:rPr>
                <w:rFonts w:hint="eastAsia" w:ascii="TimesNewRomanPSMT" w:hAnsi="TimesNewRomanPSMT" w:eastAsia="宋体" w:cs="TimesNewRomanPSMT"/>
                <w:b w:val="0"/>
                <w:bCs w:val="0"/>
                <w:color w:val="000000"/>
                <w:sz w:val="24"/>
                <w:szCs w:val="24"/>
                <w:lang w:val="en-US" w:eastAsia="zh-CN"/>
              </w:rPr>
              <w:t>劳务施工</w:t>
            </w: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CFECE">
            <w:pPr>
              <w:ind w:left="0" w:leftChars="0" w:firstLine="0" w:firstLineChars="0"/>
              <w:jc w:val="center"/>
              <w:rPr>
                <w:rFonts w:hint="default"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306375</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9AC77">
            <w:pPr>
              <w:ind w:left="0" w:leftChars="0" w:firstLine="0" w:firstLineChars="0"/>
              <w:jc w:val="center"/>
              <w:rPr>
                <w:rFonts w:hint="eastAsia"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3%</w:t>
            </w:r>
          </w:p>
        </w:tc>
        <w:tc>
          <w:tcPr>
            <w:tcW w:w="1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BEAF3">
            <w:pPr>
              <w:ind w:left="0" w:leftChars="0" w:firstLine="0" w:firstLineChars="0"/>
              <w:jc w:val="center"/>
              <w:rPr>
                <w:rFonts w:hint="default" w:ascii="宋体" w:hAnsi="宋体" w:eastAsia="宋体" w:cs="宋体"/>
                <w:color w:val="000000"/>
                <w:sz w:val="22"/>
                <w:szCs w:val="22"/>
                <w:lang w:val="en-US" w:eastAsia="zh-CN" w:bidi="ar-SA"/>
              </w:rPr>
            </w:pPr>
          </w:p>
        </w:tc>
        <w:tc>
          <w:tcPr>
            <w:tcW w:w="10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88E9A">
            <w:pPr>
              <w:ind w:left="0" w:leftChars="0" w:firstLine="0" w:firstLineChars="0"/>
              <w:jc w:val="center"/>
              <w:rPr>
                <w:rFonts w:hint="default" w:ascii="宋体" w:hAnsi="宋体" w:eastAsia="宋体" w:cs="宋体"/>
                <w:color w:val="000000"/>
                <w:sz w:val="22"/>
                <w:szCs w:val="22"/>
                <w:lang w:val="en-US" w:eastAsia="zh-CN" w:bidi="ar-SA"/>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0C7D0">
            <w:pPr>
              <w:ind w:left="0" w:leftChars="0" w:firstLine="0" w:firstLineChars="0"/>
              <w:jc w:val="center"/>
              <w:rPr>
                <w:rFonts w:ascii="宋体" w:hAnsi="宋体" w:eastAsia="宋体" w:cs="宋体"/>
                <w:color w:val="000000"/>
                <w:sz w:val="22"/>
                <w:szCs w:val="22"/>
                <w:lang w:val="en-US" w:eastAsia="en-US" w:bidi="ar-SA"/>
              </w:rPr>
            </w:pPr>
          </w:p>
        </w:tc>
      </w:tr>
      <w:tr w14:paraId="45D0348F">
        <w:tblPrEx>
          <w:tblCellMar>
            <w:top w:w="0" w:type="dxa"/>
            <w:left w:w="108" w:type="dxa"/>
            <w:bottom w:w="0" w:type="dxa"/>
            <w:right w:w="108" w:type="dxa"/>
          </w:tblCellMar>
        </w:tblPrEx>
        <w:trPr>
          <w:trHeight w:val="593" w:hRule="atLeast"/>
        </w:trPr>
        <w:tc>
          <w:tcPr>
            <w:tcW w:w="476" w:type="pct"/>
            <w:tcBorders>
              <w:top w:val="single" w:color="000000" w:sz="4" w:space="0"/>
              <w:left w:val="single" w:color="000000" w:sz="4" w:space="0"/>
              <w:bottom w:val="single" w:color="000000" w:sz="4" w:space="0"/>
              <w:right w:val="single" w:color="auto" w:sz="4" w:space="0"/>
            </w:tcBorders>
            <w:noWrap/>
            <w:vAlign w:val="center"/>
          </w:tcPr>
          <w:p w14:paraId="1EA82485">
            <w:pPr>
              <w:rPr>
                <w:rFonts w:ascii="宋体" w:hAnsi="宋体" w:eastAsia="宋体" w:cs="宋体"/>
                <w:color w:val="000000"/>
                <w:sz w:val="24"/>
                <w:szCs w:val="22"/>
              </w:rPr>
            </w:pPr>
          </w:p>
        </w:tc>
        <w:tc>
          <w:tcPr>
            <w:tcW w:w="760" w:type="pct"/>
            <w:tcBorders>
              <w:top w:val="single" w:color="auto" w:sz="4" w:space="0"/>
              <w:left w:val="single" w:color="auto" w:sz="4" w:space="0"/>
              <w:bottom w:val="single" w:color="auto" w:sz="4" w:space="0"/>
              <w:right w:val="single" w:color="auto" w:sz="4" w:space="0"/>
            </w:tcBorders>
            <w:noWrap/>
            <w:vAlign w:val="center"/>
          </w:tcPr>
          <w:p w14:paraId="1338F98E">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3762" w:type="pct"/>
            <w:gridSpan w:val="5"/>
            <w:tcBorders>
              <w:top w:val="single" w:color="000000" w:sz="4" w:space="0"/>
              <w:left w:val="single" w:color="auto" w:sz="4" w:space="0"/>
              <w:bottom w:val="single" w:color="000000" w:sz="4" w:space="0"/>
              <w:right w:val="single" w:color="000000" w:sz="4" w:space="0"/>
            </w:tcBorders>
            <w:noWrap/>
            <w:vAlign w:val="center"/>
          </w:tcPr>
          <w:p w14:paraId="5EF5A1D1">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val="en-US" w:eastAsia="zh-CN" w:bidi="ar"/>
              </w:rPr>
              <w:t xml:space="preserve"> 3 </w:t>
            </w:r>
            <w:r>
              <w:rPr>
                <w:rFonts w:hint="eastAsia" w:ascii="宋体" w:hAnsi="宋体" w:eastAsia="宋体" w:cs="宋体"/>
                <w:b/>
                <w:bCs/>
                <w:color w:val="000000"/>
                <w:kern w:val="0"/>
                <w:sz w:val="24"/>
                <w:szCs w:val="22"/>
                <w:u w:val="single"/>
                <w:lang w:bidi="ar"/>
              </w:rPr>
              <w:t>%增值税专用发票</w:t>
            </w:r>
          </w:p>
        </w:tc>
      </w:tr>
      <w:tr w14:paraId="111DAF7E">
        <w:tblPrEx>
          <w:tblCellMar>
            <w:top w:w="0" w:type="dxa"/>
            <w:left w:w="108" w:type="dxa"/>
            <w:bottom w:w="0" w:type="dxa"/>
            <w:right w:w="108" w:type="dxa"/>
          </w:tblCellMar>
        </w:tblPrEx>
        <w:trPr>
          <w:trHeight w:val="915" w:hRule="atLeast"/>
        </w:trPr>
        <w:tc>
          <w:tcPr>
            <w:tcW w:w="5000" w:type="pct"/>
            <w:gridSpan w:val="7"/>
            <w:tcBorders>
              <w:top w:val="single" w:color="000000" w:sz="4" w:space="0"/>
              <w:left w:val="single" w:color="000000" w:sz="4" w:space="0"/>
              <w:bottom w:val="single" w:color="000000" w:sz="4" w:space="0"/>
              <w:right w:val="single" w:color="000000" w:sz="4" w:space="0"/>
            </w:tcBorders>
            <w:vAlign w:val="center"/>
          </w:tcPr>
          <w:p w14:paraId="627AE311">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供应商需</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498F48C4">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57B17544">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bidi="ar"/>
              </w:rPr>
              <w:t>未尽事宜详见设计图纸、规范文件等相关资料，满足</w:t>
            </w:r>
            <w:r>
              <w:rPr>
                <w:rFonts w:hint="eastAsia" w:ascii="宋体" w:hAnsi="宋体" w:eastAsia="宋体" w:cs="宋体"/>
                <w:color w:val="000000"/>
                <w:kern w:val="0"/>
                <w:sz w:val="24"/>
                <w:szCs w:val="22"/>
                <w:lang w:val="en-US" w:eastAsia="zh-CN" w:bidi="ar"/>
              </w:rPr>
              <w:t>采购</w:t>
            </w:r>
            <w:r>
              <w:rPr>
                <w:rFonts w:hint="eastAsia" w:ascii="宋体" w:hAnsi="宋体" w:eastAsia="宋体" w:cs="宋体"/>
                <w:color w:val="000000"/>
                <w:kern w:val="0"/>
                <w:sz w:val="24"/>
                <w:szCs w:val="22"/>
                <w:lang w:bidi="ar"/>
              </w:rPr>
              <w:t>人要求</w:t>
            </w:r>
            <w:r>
              <w:rPr>
                <w:rFonts w:ascii="宋体" w:hAnsi="宋体" w:eastAsia="宋体" w:cs="宋体"/>
                <w:color w:val="000000"/>
                <w:kern w:val="0"/>
                <w:sz w:val="24"/>
                <w:szCs w:val="22"/>
                <w:lang w:bidi="ar"/>
              </w:rPr>
              <w:t>。</w:t>
            </w:r>
          </w:p>
        </w:tc>
      </w:tr>
    </w:tbl>
    <w:p w14:paraId="6CCA58A7">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44974864"/>
      <w:bookmarkStart w:id="285" w:name="_Toc300835221"/>
      <w:bookmarkStart w:id="286" w:name="_Toc152045796"/>
      <w:bookmarkStart w:id="287" w:name="_Toc152042585"/>
      <w:bookmarkStart w:id="288" w:name="_Toc247527836"/>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7116"/>
      <w:bookmarkStart w:id="293" w:name="_Toc179632828"/>
      <w:bookmarkStart w:id="294" w:name="_Toc296602618"/>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46996370"/>
      <w:bookmarkStart w:id="298" w:name="_Toc296602615"/>
      <w:bookmarkStart w:id="299" w:name="_Toc246997113"/>
      <w:bookmarkStart w:id="300" w:name="_Toc300835226"/>
      <w:bookmarkStart w:id="301" w:name="_Toc152042599"/>
      <w:bookmarkStart w:id="302" w:name="_Toc247514302"/>
      <w:bookmarkStart w:id="303" w:name="_Toc152045810"/>
      <w:bookmarkStart w:id="304" w:name="_Toc247527850"/>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7114"/>
      <w:bookmarkStart w:id="308" w:name="_Toc247085889"/>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14303"/>
      <w:bookmarkStart w:id="312" w:name="_Toc144974879"/>
      <w:bookmarkStart w:id="313" w:name="_Toc247527851"/>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提供供应商的有效施工劳务企业资质和安全生产许可证的复印件或扫描件，加盖供应商单位公章；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4"/>
        <w:numPr>
          <w:ilvl w:val="0"/>
          <w:numId w:val="0"/>
        </w:numPr>
        <w:jc w:val="center"/>
        <w:rPr>
          <w:rFonts w:hint="default"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6D07D79-5A4A-4128-9C08-4C8E0890E40A}"/>
  </w:font>
  <w:font w:name="Arial">
    <w:panose1 w:val="020B0604020202020204"/>
    <w:charset w:val="01"/>
    <w:family w:val="swiss"/>
    <w:pitch w:val="default"/>
    <w:sig w:usb0="E0002EFF" w:usb1="C000785B" w:usb2="00000009" w:usb3="00000000" w:csb0="400001FF" w:csb1="FFFF0000"/>
    <w:embedRegular r:id="rId2" w:fontKey="{2BC2F441-D760-421D-B1BD-FBEAB57F05D8}"/>
  </w:font>
  <w:font w:name="黑体">
    <w:panose1 w:val="02010609060101010101"/>
    <w:charset w:val="86"/>
    <w:family w:val="auto"/>
    <w:pitch w:val="default"/>
    <w:sig w:usb0="800002BF" w:usb1="38CF7CFA" w:usb2="00000016" w:usb3="00000000" w:csb0="00040001" w:csb1="00000000"/>
    <w:embedRegular r:id="rId3" w:fontKey="{8ECE7527-B498-4C53-B482-967AE035D8E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56E980DD-2EEA-4E9E-8093-882E5764ADDE}"/>
  </w:font>
  <w:font w:name="仿宋_GB2312">
    <w:panose1 w:val="02010609030101010101"/>
    <w:charset w:val="86"/>
    <w:family w:val="modern"/>
    <w:pitch w:val="default"/>
    <w:sig w:usb0="00000001" w:usb1="080E0000" w:usb2="00000000" w:usb3="00000000" w:csb0="00040000" w:csb1="00000000"/>
    <w:embedRegular r:id="rId5" w:fontKey="{24EB1073-5C32-4C45-AEFF-A1AD34ADCBDD}"/>
  </w:font>
  <w:font w:name="方正小标宋简体">
    <w:panose1 w:val="03000509000000000000"/>
    <w:charset w:val="86"/>
    <w:family w:val="auto"/>
    <w:pitch w:val="default"/>
    <w:sig w:usb0="00000001" w:usb1="080E0000" w:usb2="00000000" w:usb3="00000000" w:csb0="00040000" w:csb1="00000000"/>
    <w:embedRegular r:id="rId6" w:fontKey="{89FB38DA-5948-4911-B48B-634F9C1CCA47}"/>
  </w:font>
  <w:font w:name="楷体">
    <w:panose1 w:val="02010609060101010101"/>
    <w:charset w:val="86"/>
    <w:family w:val="auto"/>
    <w:pitch w:val="default"/>
    <w:sig w:usb0="800002BF" w:usb1="38CF7CFA" w:usb2="00000016" w:usb3="00000000" w:csb0="00040001" w:csb1="00000000"/>
    <w:embedRegular r:id="rId7" w:fontKey="{0342CC42-0ADA-44A7-A06A-E45E9317B595}"/>
  </w:font>
  <w:font w:name="Wingdings 2">
    <w:panose1 w:val="05020102010507070707"/>
    <w:charset w:val="00"/>
    <w:family w:val="auto"/>
    <w:pitch w:val="default"/>
    <w:sig w:usb0="00000000" w:usb1="00000000" w:usb2="00000000" w:usb3="00000000" w:csb0="80000000" w:csb1="00000000"/>
    <w:embedRegular r:id="rId8" w:fontKey="{3F177ADE-B429-48AA-ACCE-30001F0B1D0D}"/>
  </w:font>
  <w:font w:name="方正仿宋_GB2312">
    <w:panose1 w:val="02000000000000000000"/>
    <w:charset w:val="86"/>
    <w:family w:val="auto"/>
    <w:pitch w:val="default"/>
    <w:sig w:usb0="A00002BF" w:usb1="184F6CFA" w:usb2="00000012" w:usb3="00000000" w:csb0="00040001" w:csb1="00000000"/>
    <w:embedRegular r:id="rId9" w:fontKey="{90C7FA6A-5504-4028-A336-0D7FF477AC86}"/>
  </w:font>
  <w:font w:name="TimesNewRomanPSMT">
    <w:altName w:val="Times New Roman"/>
    <w:panose1 w:val="00000000000000000000"/>
    <w:charset w:val="00"/>
    <w:family w:val="auto"/>
    <w:pitch w:val="default"/>
    <w:sig w:usb0="00000000" w:usb1="00000000" w:usb2="00000000" w:usb3="00000000" w:csb0="00000000" w:csb1="00000000"/>
    <w:embedRegular r:id="rId10" w:fontKey="{25604148-C256-41CE-B4BA-9EF6944E0BA0}"/>
  </w:font>
  <w:font w:name="仿宋">
    <w:panose1 w:val="02010609060101010101"/>
    <w:charset w:val="86"/>
    <w:family w:val="modern"/>
    <w:pitch w:val="default"/>
    <w:sig w:usb0="800002BF" w:usb1="38CF7CFA" w:usb2="00000016" w:usb3="00000000" w:csb0="00040001" w:csb1="00000000"/>
    <w:embedRegular r:id="rId11" w:fontKey="{8F0D0C2C-92B9-4831-A6DA-DD45BED245BE}"/>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4100D"/>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1908BB"/>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558DA"/>
    <w:rsid w:val="26FE679C"/>
    <w:rsid w:val="270A0093"/>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7A1EA0"/>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14098</Words>
  <Characters>15068</Characters>
  <Lines>0</Lines>
  <Paragraphs>0</Paragraphs>
  <TotalTime>0</TotalTime>
  <ScaleCrop>false</ScaleCrop>
  <LinksUpToDate>false</LinksUpToDate>
  <CharactersWithSpaces>15210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2026-04-09T01:15:00Z</cp:lastPrinted>
  <dcterms:modified xsi:type="dcterms:W3CDTF">2026-04-10T08:16:46Z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eyJoZGlkIjoiM2Y2YWQwZmQwYTk0YzMxZDE0NDM4NTZjN2RkMjdlYzYiLCJ1c2VySWQiOiI1NTMyMjQzNDEifQ==</vt:lpwstr>
  </property>
</Properties>
</file>