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t>凤鸣书院项目二次加压供水设备采购及安装工程</w:t>
      </w:r>
    </w:p>
    <w:p w14:paraId="6F1022E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BZJK-2026-002号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 购 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eastAsia" w:ascii="Times New Roman" w:hAnsi="Times New Roman" w:eastAsia="楷体" w:cs="Times New Roman"/>
          <w:kern w:val="0"/>
          <w:sz w:val="32"/>
          <w:szCs w:val="32"/>
          <w:highlight w:val="none"/>
          <w:shd w:val="clear" w:color="auto" w:fill="auto"/>
          <w:lang w:val="en-US" w:eastAsia="zh-CN"/>
        </w:rPr>
        <w:t>亳州市晔瀚置业有限公司</w:t>
      </w:r>
      <w:permEnd w:id="0"/>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2026年4</w:t>
      </w:r>
      <w:r>
        <w:rPr>
          <w:rFonts w:hint="eastAsia" w:ascii="Times New Roman" w:hAnsi="Times New Roman" w:eastAsia="楷体" w:cs="Times New Roman"/>
          <w:kern w:val="0"/>
          <w:sz w:val="32"/>
          <w:szCs w:val="32"/>
          <w:highlight w:val="none"/>
          <w:u w:val="none"/>
          <w:shd w:val="clear" w:color="auto" w:fill="auto"/>
          <w:lang w:val="en-US" w:eastAsia="zh-CN"/>
        </w:rPr>
        <w:t>月13日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25</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none"/>
          <w:lang w:val="en-US" w:eastAsia="zh-CN"/>
        </w:rPr>
      </w:pPr>
      <w:permStart w:id="3" w:edGrp="everyone"/>
      <w:r>
        <w:rPr>
          <w:rFonts w:hint="eastAsia" w:ascii="Times New Roman" w:hAnsi="Times New Roman" w:eastAsia="黑体" w:cs="Times New Roman"/>
          <w:sz w:val="28"/>
          <w:szCs w:val="28"/>
          <w:highlight w:val="none"/>
          <w:u w:val="none"/>
          <w:lang w:val="en-US" w:eastAsia="zh-CN"/>
        </w:rPr>
        <w:t xml:space="preserve"> 凤鸣书院项目二次加压供水设备采购及安装工程询比公告</w:t>
      </w:r>
    </w:p>
    <w:permEnd w:id="3"/>
    <w:p w14:paraId="26E7E4CE">
      <w:pPr>
        <w:pStyle w:val="2"/>
        <w:keepNext w:val="0"/>
        <w:keepLines w:val="0"/>
        <w:pageBreakBefore w:val="0"/>
        <w:widowControl w:val="0"/>
        <w:kinsoku/>
        <w:overflowPunct/>
        <w:topLinePunct w:val="0"/>
        <w:autoSpaceDE/>
        <w:autoSpaceDN/>
        <w:bidi w:val="0"/>
        <w:adjustRightInd/>
        <w:snapToGrid/>
        <w:spacing w:line="480" w:lineRule="exact"/>
        <w:textAlignment w:val="auto"/>
        <w:rPr>
          <w:rFonts w:hint="default"/>
          <w:lang w:val="en-US" w:eastAsia="zh-CN"/>
        </w:rPr>
      </w:pPr>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152045519"/>
      <w:bookmarkStart w:id="2" w:name="_Toc246996166"/>
      <w:bookmarkStart w:id="3" w:name="_Toc247085680"/>
      <w:bookmarkStart w:id="4" w:name="_Toc179632536"/>
      <w:bookmarkStart w:id="5" w:name="_Toc144974487"/>
      <w:bookmarkStart w:id="6" w:name="_Toc296602410"/>
      <w:bookmarkStart w:id="7" w:name="_Toc246996909"/>
      <w:r>
        <w:rPr>
          <w:rFonts w:hint="eastAsia" w:ascii="宋体" w:hAnsi="宋体" w:eastAsia="宋体" w:cs="宋体"/>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凤鸣书院项目二次加压供水设备采购及安装工程</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7085681"/>
      <w:bookmarkStart w:id="9" w:name="_Toc152045520"/>
      <w:bookmarkStart w:id="10" w:name="_Toc296602411"/>
      <w:bookmarkStart w:id="11" w:name="_Toc179632537"/>
      <w:bookmarkStart w:id="12" w:name="_Toc246996167"/>
      <w:bookmarkStart w:id="13" w:name="_Toc144974488"/>
      <w:bookmarkStart w:id="14" w:name="_Toc246996910"/>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凤鸣书院项目二次加压供水设备采购及安装工程</w:t>
      </w:r>
    </w:p>
    <w:permEnd w:id="4"/>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 xml:space="preserve">BZJK-2026-002号 </w:t>
      </w:r>
      <w:r>
        <w:rPr>
          <w:rFonts w:hint="eastAsia" w:asciiTheme="minorEastAsia" w:hAnsiTheme="minorEastAsia" w:eastAsia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5"/>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亳州市晔瀚置业有限公司</w:t>
      </w:r>
      <w:r>
        <w:rPr>
          <w:rFonts w:hint="eastAsia" w:asciiTheme="minorEastAsia" w:hAnsiTheme="minorEastAsia" w:cstheme="minorEastAsia"/>
          <w:color w:val="FF0000"/>
          <w:sz w:val="28"/>
          <w:szCs w:val="28"/>
          <w:highlight w:val="none"/>
          <w:lang w:val="en-US" w:eastAsia="zh-CN"/>
        </w:rPr>
        <w:t xml:space="preserve"> </w:t>
      </w:r>
      <w:permEnd w:id="6"/>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 xml:space="preserve"> 已落实</w:t>
      </w:r>
      <w:r>
        <w:rPr>
          <w:rFonts w:hint="eastAsia" w:asciiTheme="minorEastAsia" w:hAnsiTheme="minorEastAsia" w:cstheme="minorEastAsia"/>
          <w:color w:val="FF0000"/>
          <w:sz w:val="28"/>
          <w:szCs w:val="28"/>
          <w:highlight w:val="none"/>
          <w:u w:val="none"/>
          <w:lang w:val="en-US" w:eastAsia="zh-CN"/>
        </w:rPr>
        <w:t xml:space="preserve"> </w:t>
      </w:r>
      <w:permEnd w:id="7"/>
    </w:p>
    <w:p w14:paraId="33DF816F">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最高限价</w:t>
      </w:r>
      <w:permStart w:id="8" w:edGrp="everyone"/>
      <w:r>
        <w:rPr>
          <w:rFonts w:hint="eastAsia" w:asciiTheme="minorEastAsia" w:hAnsiTheme="minorEastAsia" w:cstheme="minorEastAsia"/>
          <w:sz w:val="28"/>
          <w:szCs w:val="28"/>
          <w:highlight w:val="none"/>
          <w:lang w:val="en-US" w:eastAsia="zh-CN"/>
        </w:rPr>
        <w:t>（含税，税率13%）</w:t>
      </w:r>
      <w:permEnd w:id="8"/>
      <w:r>
        <w:rPr>
          <w:rFonts w:hint="eastAsia" w:asciiTheme="minorEastAsia" w:hAnsi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 xml:space="preserve"> 652400.00</w:t>
      </w:r>
      <w:r>
        <w:rPr>
          <w:rFonts w:hint="eastAsia" w:asciiTheme="minorEastAsia" w:hAnsiTheme="minorEastAsia" w:cstheme="minorEastAsia"/>
          <w:color w:val="FF0000"/>
          <w:sz w:val="28"/>
          <w:szCs w:val="28"/>
          <w:highlight w:val="none"/>
          <w:u w:val="none"/>
          <w:lang w:val="en-US" w:eastAsia="zh-CN"/>
        </w:rPr>
        <w:t xml:space="preserve"> </w:t>
      </w:r>
      <w:permEnd w:id="9"/>
      <w:r>
        <w:rPr>
          <w:rFonts w:hint="eastAsia" w:asciiTheme="minorEastAsia" w:hAnsiTheme="minorEastAsia" w:cstheme="minorEastAsia"/>
          <w:sz w:val="28"/>
          <w:szCs w:val="28"/>
          <w:highlight w:val="none"/>
          <w:lang w:val="en-US" w:eastAsia="zh-CN"/>
        </w:rPr>
        <w:t>元，供应商按固定总价报价。</w:t>
      </w:r>
      <w:r>
        <w:rPr>
          <w:rFonts w:hint="eastAsia" w:asciiTheme="minorEastAsia" w:hAnsiTheme="minorEastAsia" w:eastAsiaTheme="minorEastAsia" w:cstheme="minorEastAsia"/>
          <w:sz w:val="28"/>
          <w:szCs w:val="28"/>
          <w:highlight w:val="none"/>
          <w:lang w:val="en-US" w:eastAsia="zh-CN"/>
        </w:rPr>
        <w:t>报价超出限价或</w:t>
      </w:r>
      <w:r>
        <w:rPr>
          <w:rFonts w:hint="eastAsia" w:asciiTheme="minorEastAsia" w:hAnsiTheme="minorEastAsia" w:cstheme="minorEastAsia"/>
          <w:sz w:val="28"/>
          <w:szCs w:val="28"/>
          <w:highlight w:val="none"/>
          <w:lang w:val="en-US" w:eastAsia="zh-CN"/>
        </w:rPr>
        <w:t>为可能影响合同履约的异常低价的</w:t>
      </w:r>
      <w:r>
        <w:rPr>
          <w:rFonts w:hint="eastAsia" w:asciiTheme="minorEastAsia" w:hAnsiTheme="minorEastAsia" w:eastAsiaTheme="minorEastAsia" w:cstheme="minorEastAsia"/>
          <w:sz w:val="28"/>
          <w:szCs w:val="28"/>
          <w:highlight w:val="none"/>
          <w:lang w:val="en-US" w:eastAsia="zh-CN"/>
        </w:rPr>
        <w:t>，按无效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r>
        <w:rPr>
          <w:rFonts w:hint="default" w:ascii="Times New Roman" w:hAnsi="Times New Roman" w:eastAsia="仿宋_GB2312" w:cs="Times New Roman"/>
          <w:sz w:val="28"/>
          <w:szCs w:val="28"/>
          <w:highlight w:val="none"/>
          <w:lang w:val="en-US" w:eastAsia="zh-CN"/>
        </w:rPr>
        <w:tab/>
      </w:r>
    </w:p>
    <w:p w14:paraId="633EE6D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F91F055">
      <w:pPr>
        <w:keepNext w:val="0"/>
        <w:keepLines w:val="0"/>
        <w:pageBreakBefore w:val="0"/>
        <w:widowControl w:val="0"/>
        <w:kinsoku/>
        <w:wordWrap/>
        <w:overflowPunct/>
        <w:topLinePunct w:val="0"/>
        <w:autoSpaceDE/>
        <w:autoSpaceDN/>
        <w:bidi w:val="0"/>
        <w:adjustRightInd/>
        <w:snapToGrid/>
        <w:spacing w:line="480" w:lineRule="exact"/>
        <w:ind w:left="0" w:leftChars="0" w:firstLine="560" w:firstLineChars="200"/>
        <w:jc w:val="both"/>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cstheme="minorEastAsia"/>
          <w:color w:val="auto"/>
          <w:sz w:val="28"/>
          <w:szCs w:val="28"/>
          <w:highlight w:val="none"/>
          <w:lang w:val="en-US" w:eastAsia="zh-CN"/>
        </w:rPr>
        <w:t>凤鸣书院项</w:t>
      </w:r>
      <w:r>
        <w:rPr>
          <w:rFonts w:hint="eastAsia" w:asciiTheme="minorEastAsia" w:hAnsiTheme="minorEastAsia" w:cstheme="minorEastAsia"/>
          <w:sz w:val="28"/>
          <w:szCs w:val="28"/>
          <w:highlight w:val="none"/>
          <w:lang w:val="en-US" w:eastAsia="zh-CN"/>
        </w:rPr>
        <w:t>目位于亳州市高新区养生大道南、文采路东、香蒲路北。占地172亩，总建筑面积为286870㎡。</w:t>
      </w:r>
      <w:permEnd w:id="10"/>
    </w:p>
    <w:p w14:paraId="4D453AC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（二）采购范围</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cstheme="minorEastAsia"/>
          <w:sz w:val="28"/>
          <w:szCs w:val="28"/>
          <w:highlight w:val="none"/>
          <w:lang w:val="en-US" w:eastAsia="zh-CN"/>
        </w:rPr>
        <w:t>包含但不限于负责生活泵房内成套设备系统及设备基础，无负压智联变频设备、气压罐、倒流防止器、试水阀等其他联动相关辅材、设备控制箱及控制箱至设备之间的控制线、电源箱至控制箱之间的线缆、桥架（含电源箱下桩头接线施工）、气压罐与泵之间的管道、阀门及附件、设备接地、设备调试及维保等。具体要求详见采购文件第五章采购需求。</w:t>
      </w:r>
    </w:p>
    <w:permEnd w:id="11"/>
    <w:p w14:paraId="43FDE6B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（三）计划工期</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自采购人发出订单通知之起</w:t>
      </w:r>
      <w:r>
        <w:rPr>
          <w:rFonts w:hint="eastAsia" w:asciiTheme="minorEastAsia" w:hAnsiTheme="minorEastAsia" w:eastAsiaTheme="minorEastAsia" w:cstheme="minorEastAsia"/>
          <w:sz w:val="28"/>
          <w:szCs w:val="28"/>
          <w:highlight w:val="none"/>
          <w:lang w:val="en-US" w:eastAsia="zh-CN"/>
        </w:rPr>
        <w:t>30日历天内将当期货物送至现场，</w:t>
      </w:r>
      <w:r>
        <w:rPr>
          <w:rFonts w:hint="eastAsia" w:asciiTheme="minorEastAsia" w:hAnsiTheme="minorEastAsia" w:cstheme="minorEastAsia"/>
          <w:sz w:val="28"/>
          <w:szCs w:val="28"/>
          <w:highlight w:val="none"/>
          <w:lang w:val="en-US" w:eastAsia="zh-CN"/>
        </w:rPr>
        <w:t>当期货物送达现场后45</w:t>
      </w:r>
      <w:r>
        <w:rPr>
          <w:rFonts w:hint="eastAsia" w:asciiTheme="minorEastAsia" w:hAnsiTheme="minorEastAsia" w:eastAsiaTheme="minorEastAsia" w:cstheme="minorEastAsia"/>
          <w:sz w:val="28"/>
          <w:szCs w:val="28"/>
          <w:highlight w:val="none"/>
          <w:lang w:val="en-US" w:eastAsia="zh-CN"/>
        </w:rPr>
        <w:t>日历天</w:t>
      </w:r>
      <w:r>
        <w:rPr>
          <w:rFonts w:hint="eastAsia" w:asciiTheme="minorEastAsia" w:hAnsiTheme="minorEastAsia" w:cstheme="minorEastAsia"/>
          <w:sz w:val="28"/>
          <w:szCs w:val="28"/>
          <w:highlight w:val="none"/>
          <w:lang w:val="en-US" w:eastAsia="zh-CN"/>
        </w:rPr>
        <w:t>内完成安装作业</w:t>
      </w:r>
      <w:r>
        <w:rPr>
          <w:rFonts w:hint="eastAsia" w:asciiTheme="minorEastAsia" w:hAnsiTheme="minorEastAsia" w:eastAsiaTheme="minorEastAsia" w:cstheme="minorEastAsia"/>
          <w:sz w:val="28"/>
          <w:szCs w:val="28"/>
          <w:highlight w:val="none"/>
          <w:lang w:val="en-US" w:eastAsia="zh-CN"/>
        </w:rPr>
        <w:t>。</w:t>
      </w:r>
      <w:permEnd w:id="12"/>
    </w:p>
    <w:p w14:paraId="24355AD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建设地点</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亳州市高新区养生大道南、文采路东、香蒲路北</w:t>
      </w:r>
      <w:r>
        <w:rPr>
          <w:rFonts w:hint="eastAsia" w:asciiTheme="minorEastAsia" w:hAnsiTheme="minorEastAsia" w:cstheme="minorEastAsia"/>
          <w:sz w:val="28"/>
          <w:szCs w:val="28"/>
          <w:highlight w:val="none"/>
          <w:lang w:val="en-US" w:eastAsia="zh-CN"/>
        </w:rPr>
        <w:t>凤鸣书院项目。</w:t>
      </w:r>
      <w:r>
        <w:rPr>
          <w:rFonts w:hint="eastAsia" w:asciiTheme="minorEastAsia" w:hAnsiTheme="minorEastAsia" w:cstheme="minorEastAsia"/>
          <w:color w:val="FF0000"/>
          <w:sz w:val="28"/>
          <w:szCs w:val="28"/>
          <w:highlight w:val="none"/>
          <w:lang w:val="en-US" w:eastAsia="zh-CN"/>
        </w:rPr>
        <w:t xml:space="preserve"> </w:t>
      </w:r>
      <w:permEnd w:id="13"/>
    </w:p>
    <w:p w14:paraId="6D92E0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质量标准</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4"/>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5" w:edGrp="everyone"/>
      <w:r>
        <w:rPr>
          <w:rFonts w:hint="eastAsia" w:asciiTheme="minorEastAsia" w:hAnsiTheme="minorEastAsia" w:eastAsiaTheme="minorEastAsia" w:cstheme="minorEastAsia"/>
          <w:sz w:val="28"/>
          <w:szCs w:val="28"/>
          <w:highlight w:val="none"/>
          <w:lang w:val="en-US" w:eastAsia="zh-CN"/>
        </w:rPr>
        <w:t>独立法人资格，具有有效的营业执照</w:t>
      </w:r>
      <w:permEnd w:id="15"/>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34E00FC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6" w:edGrp="everyone"/>
      <w:r>
        <w:rPr>
          <w:rFonts w:hint="eastAsia" w:asciiTheme="minorEastAsia" w:hAnsiTheme="minorEastAsia" w:cstheme="minorEastAsia"/>
          <w:sz w:val="28"/>
          <w:szCs w:val="28"/>
          <w:highlight w:val="none"/>
          <w:u w:val="single"/>
          <w:lang w:val="en-US" w:eastAsia="zh-CN"/>
        </w:rPr>
        <w:t>供应商须具备建筑机电安装工程专业承包三级及以上资质。</w:t>
      </w:r>
      <w:permEnd w:id="16"/>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）提供</w:t>
      </w:r>
      <w:permStart w:id="17"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2024 </w:t>
      </w:r>
      <w:permEnd w:id="17"/>
      <w:r>
        <w:rPr>
          <w:rFonts w:hint="eastAsia" w:asciiTheme="minorEastAsia" w:hAnsiTheme="minorEastAsia" w:cstheme="minorEastAsia"/>
          <w:sz w:val="28"/>
          <w:szCs w:val="28"/>
          <w:highlight w:val="none"/>
          <w:u w:val="none"/>
          <w:lang w:val="en-US" w:eastAsia="zh-CN"/>
        </w:rPr>
        <w:t>年1月起</w:t>
      </w:r>
      <w:r>
        <w:rPr>
          <w:rFonts w:hint="eastAsia" w:asciiTheme="minorEastAsia" w:hAnsiTheme="minorEastAsia" w:eastAsiaTheme="minorEastAsia" w:cstheme="minorEastAsia"/>
          <w:sz w:val="28"/>
          <w:szCs w:val="28"/>
          <w:highlight w:val="none"/>
          <w:lang w:val="en-US" w:eastAsia="zh-CN"/>
        </w:rPr>
        <w:t>至今企业类似项目业绩</w:t>
      </w:r>
      <w:permStart w:id="18"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1 </w:t>
      </w:r>
      <w:permEnd w:id="18"/>
      <w:r>
        <w:rPr>
          <w:rFonts w:hint="eastAsia" w:asciiTheme="minorEastAsia" w:hAnsiTheme="minorEastAsia" w:eastAsiaTheme="minorEastAsia" w:cstheme="minorEastAsia"/>
          <w:sz w:val="28"/>
          <w:szCs w:val="28"/>
          <w:highlight w:val="none"/>
          <w:lang w:val="en-US" w:eastAsia="zh-CN"/>
        </w:rPr>
        <w:t>个，以</w:t>
      </w:r>
      <w:permStart w:id="19"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9"/>
      <w:r>
        <w:rPr>
          <w:rFonts w:hint="eastAsia" w:asciiTheme="minorEastAsia" w:hAnsiTheme="minorEastAsia" w:eastAsiaTheme="minorEastAsia" w:cstheme="minorEastAsia"/>
          <w:sz w:val="28"/>
          <w:szCs w:val="28"/>
          <w:highlight w:val="none"/>
          <w:lang w:val="en-US" w:eastAsia="zh-CN"/>
        </w:rPr>
        <w:t>为准。类似项目业绩指：</w:t>
      </w:r>
      <w:permStart w:id="20" w:edGrp="everyone"/>
      <w:r>
        <w:rPr>
          <w:rFonts w:hint="eastAsia" w:asciiTheme="minorEastAsia" w:hAnsiTheme="minorEastAsia" w:cstheme="minorEastAsia"/>
          <w:sz w:val="28"/>
          <w:szCs w:val="28"/>
          <w:highlight w:val="none"/>
          <w:u w:val="single"/>
          <w:lang w:val="en-US" w:eastAsia="zh-CN"/>
        </w:rPr>
        <w:t xml:space="preserve">单项合同金额达30万元及以上的二次加压供水设备供货及安装工程业绩 </w:t>
      </w:r>
      <w:permEnd w:id="20"/>
      <w:r>
        <w:rPr>
          <w:rFonts w:hint="eastAsia" w:asciiTheme="minorEastAsia" w:hAnsiTheme="minorEastAsia" w:eastAsiaTheme="minorEastAsia" w:cstheme="minorEastAsia"/>
          <w:sz w:val="28"/>
          <w:szCs w:val="28"/>
          <w:highlight w:val="none"/>
          <w:lang w:val="en-US" w:eastAsia="zh-CN"/>
        </w:rPr>
        <w:t>；</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1"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21"/>
      <w:r>
        <w:rPr>
          <w:rFonts w:hint="default" w:asciiTheme="minorEastAsia" w:hAnsiTheme="minorEastAsia" w:eastAsiaTheme="minorEastAsia" w:cstheme="minorEastAsia"/>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61AC5CE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备注：信用情况请供应商自行登录“信用中国”网站（www.creditchina.gov.cn）将查询结果等相关资料复印件或扫描件装订入响应文件中。</w:t>
      </w:r>
    </w:p>
    <w:p w14:paraId="2332FD3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22" w:edGrp="everyone"/>
      <w:r>
        <w:rPr>
          <w:rFonts w:hint="eastAsia" w:asciiTheme="minorEastAsia" w:hAnsiTheme="minorEastAsia" w:cstheme="minorEastAsia"/>
          <w:color w:val="FF0000"/>
          <w:sz w:val="28"/>
          <w:szCs w:val="28"/>
          <w:highlight w:val="none"/>
          <w:lang w:val="en-US" w:eastAsia="zh-CN"/>
        </w:rPr>
        <w:t>不</w:t>
      </w:r>
      <w:r>
        <w:rPr>
          <w:rFonts w:hint="eastAsia" w:asciiTheme="minorEastAsia" w:hAnsiTheme="minorEastAsia" w:eastAsiaTheme="minorEastAsia" w:cstheme="minorEastAsia"/>
          <w:color w:val="FF0000"/>
          <w:sz w:val="28"/>
          <w:szCs w:val="28"/>
          <w:highlight w:val="none"/>
          <w:lang w:val="en-US" w:eastAsia="zh-CN"/>
        </w:rPr>
        <w:t>接受</w:t>
      </w:r>
      <w:permEnd w:id="22"/>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3" w:edGrp="everyone"/>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2026</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年</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月</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21</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日</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时</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分</w:t>
      </w:r>
      <w:permEnd w:id="23"/>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4" w:edGrp="everyone"/>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安徽省亳州市高新技术产业开发区神农大道与酒城大道交叉口西北高铁南站金融商务中心2号楼1层108开标室</w:t>
      </w:r>
      <w:r>
        <w:rPr>
          <w:rFonts w:hint="eastAsia" w:asciiTheme="minorEastAsia" w:hAnsiTheme="minorEastAsia" w:cstheme="minorEastAsia"/>
          <w:i w:val="0"/>
          <w:iCs w:val="0"/>
          <w:sz w:val="28"/>
          <w:szCs w:val="28"/>
          <w:highlight w:val="none"/>
          <w:lang w:val="en-US" w:eastAsia="zh-CN"/>
        </w:rPr>
        <w:t>；</w:t>
      </w:r>
      <w:permEnd w:id="24"/>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29FB02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5"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ermEnd w:id="25"/>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6"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10000元</w:t>
      </w:r>
      <w:r>
        <w:rPr>
          <w:rFonts w:hint="default" w:asciiTheme="minorEastAsia" w:hAnsiTheme="minorEastAsia" w:eastAsiaTheme="minorEastAsia" w:cstheme="minorEastAsia"/>
          <w:sz w:val="28"/>
          <w:szCs w:val="28"/>
          <w:highlight w:val="none"/>
          <w:u w:val="single"/>
          <w:lang w:val="en-US" w:eastAsia="zh-CN"/>
        </w:rPr>
        <w:t xml:space="preserve"> </w:t>
      </w:r>
      <w:r>
        <w:rPr>
          <w:rFonts w:hint="default" w:asciiTheme="minorEastAsia" w:hAnsiTheme="minorEastAsia" w:eastAsiaTheme="minorEastAsia" w:cstheme="minorEastAsia"/>
          <w:sz w:val="28"/>
          <w:szCs w:val="28"/>
          <w:highlight w:val="none"/>
          <w:lang w:val="en-US" w:eastAsia="zh-CN"/>
        </w:rPr>
        <w:t>（人民币）</w:t>
      </w:r>
      <w:permEnd w:id="26"/>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7" w:edGrp="everyone"/>
      <w:r>
        <w:rPr>
          <w:rFonts w:hint="eastAsia" w:asciiTheme="minorEastAsia" w:hAnsiTheme="minorEastAsia" w:cstheme="minorEastAsia"/>
          <w:sz w:val="28"/>
          <w:szCs w:val="28"/>
          <w:highlight w:val="none"/>
          <w:lang w:val="en-US" w:eastAsia="zh-CN"/>
        </w:rPr>
        <w:t xml:space="preserve"> 亳州市晔瀚置业有限公司 </w:t>
      </w:r>
    </w:p>
    <w:permEnd w:id="27"/>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8" w:edGrp="everyone"/>
      <w:r>
        <w:rPr>
          <w:rFonts w:hint="eastAsia" w:asciiTheme="minorEastAsia" w:hAnsiTheme="minorEastAsia" w:cstheme="minorEastAsia"/>
          <w:sz w:val="28"/>
          <w:szCs w:val="28"/>
          <w:highlight w:val="none"/>
          <w:lang w:val="en-US" w:eastAsia="zh-CN"/>
        </w:rPr>
        <w:t xml:space="preserve"> 高铁南站金融商务中心2号楼6楼（招采中心） </w:t>
      </w:r>
      <w:permEnd w:id="28"/>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9" w:edGrp="everyone"/>
      <w:r>
        <w:rPr>
          <w:rFonts w:hint="eastAsia" w:asciiTheme="minorEastAsia" w:hAnsiTheme="minorEastAsia" w:cstheme="minorEastAsia"/>
          <w:sz w:val="28"/>
          <w:szCs w:val="28"/>
          <w:highlight w:val="none"/>
          <w:lang w:val="en-US" w:eastAsia="zh-CN"/>
        </w:rPr>
        <w:t xml:space="preserve"> 李工 </w:t>
      </w:r>
      <w:permEnd w:id="29"/>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0" w:edGrp="everyone"/>
      <w:r>
        <w:rPr>
          <w:rFonts w:hint="eastAsia" w:asciiTheme="minorEastAsia" w:hAnsiTheme="minorEastAsia" w:cstheme="minorEastAsia"/>
          <w:sz w:val="28"/>
          <w:szCs w:val="28"/>
          <w:highlight w:val="none"/>
          <w:lang w:val="en-US" w:eastAsia="zh-CN"/>
        </w:rPr>
        <w:t xml:space="preserve"> 0558- 5998967 </w:t>
      </w:r>
    </w:p>
    <w:permEnd w:id="30"/>
    <w:p w14:paraId="5DF007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平台：亳州交控集团招投标中心</w:t>
      </w:r>
    </w:p>
    <w:p w14:paraId="3F26394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安徽省亳州市高新技术产业开发区神农大道与酒城大道交叉口西北高铁南站金融商务中心2号楼5层514室</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34F5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14:paraId="29C29201">
      <w:pPr>
        <w:pStyle w:val="2"/>
        <w:keepNext w:val="0"/>
        <w:keepLines w:val="0"/>
        <w:pageBreakBefore w:val="0"/>
        <w:widowControl w:val="0"/>
        <w:kinsoku/>
        <w:overflowPunct/>
        <w:topLinePunct w:val="0"/>
        <w:autoSpaceDE/>
        <w:autoSpaceDN/>
        <w:bidi w:val="0"/>
        <w:adjustRightInd/>
        <w:snapToGrid/>
        <w:spacing w:line="480" w:lineRule="exact"/>
        <w:textAlignment w:val="auto"/>
        <w:rPr>
          <w:rFonts w:hint="eastAsia"/>
          <w:lang w:val="en-US" w:eastAsia="zh-CN"/>
        </w:rPr>
      </w:pPr>
    </w:p>
    <w:p w14:paraId="4B91ACBD">
      <w:pPr>
        <w:pStyle w:val="2"/>
        <w:keepNext w:val="0"/>
        <w:keepLines w:val="0"/>
        <w:pageBreakBefore w:val="0"/>
        <w:widowControl w:val="0"/>
        <w:kinsoku/>
        <w:overflowPunct/>
        <w:topLinePunct w:val="0"/>
        <w:autoSpaceDE/>
        <w:autoSpaceDN/>
        <w:bidi w:val="0"/>
        <w:adjustRightInd/>
        <w:snapToGrid/>
        <w:spacing w:line="480" w:lineRule="exact"/>
        <w:textAlignment w:val="auto"/>
        <w:rPr>
          <w:rFonts w:hint="default"/>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1"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亳州市晔瀚置业有限公司</w:t>
      </w:r>
    </w:p>
    <w:p w14:paraId="19244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 xml:space="preserve"> 年</w:t>
      </w:r>
      <w:r>
        <w:rPr>
          <w:rFonts w:hint="eastAsia" w:asciiTheme="minorEastAsia" w:hAnsiTheme="minorEastAsia" w:cstheme="minorEastAsia"/>
          <w:color w:val="FF0000"/>
          <w:sz w:val="28"/>
          <w:szCs w:val="28"/>
          <w:highlight w:val="none"/>
          <w:lang w:val="en-US" w:eastAsia="zh-CN"/>
        </w:rPr>
        <w:t>4</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13</w:t>
      </w:r>
      <w:r>
        <w:rPr>
          <w:rFonts w:hint="eastAsia" w:asciiTheme="minorEastAsia" w:hAnsiTheme="minorEastAsia" w:eastAsiaTheme="minorEastAsia" w:cstheme="minorEastAsia"/>
          <w:color w:val="FF0000"/>
          <w:sz w:val="28"/>
          <w:szCs w:val="28"/>
          <w:highlight w:val="none"/>
          <w:lang w:val="en-US" w:eastAsia="zh-CN"/>
        </w:rPr>
        <w:t>日</w:t>
      </w:r>
      <w:permEnd w:id="31"/>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w:t>
      </w:r>
      <w:r>
        <w:rPr>
          <w:rFonts w:hint="eastAsia" w:asciiTheme="majorEastAsia" w:hAnsiTheme="majorEastAsia" w:eastAsiaTheme="majorEastAsia" w:cstheme="majorEastAsia"/>
          <w:b/>
          <w:bCs/>
          <w:sz w:val="32"/>
          <w:szCs w:val="32"/>
          <w:highlight w:val="none"/>
          <w:lang w:val="en-US" w:eastAsia="zh-CN"/>
        </w:rPr>
        <w:t>一</w:t>
      </w:r>
      <w:r>
        <w:rPr>
          <w:rFonts w:hint="default" w:asciiTheme="majorEastAsia" w:hAnsiTheme="majorEastAsia" w:eastAsiaTheme="majorEastAsia" w:cstheme="majorEastAsia"/>
          <w:b/>
          <w:bCs/>
          <w:sz w:val="32"/>
          <w:szCs w:val="32"/>
          <w:highlight w:val="none"/>
          <w:lang w:val="en-US" w:eastAsia="zh-CN"/>
        </w:rPr>
        <w:t xml:space="preserve">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32"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2"/>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33"/>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4" w:edGrp="everyone"/>
            <w:r>
              <w:rPr>
                <w:rFonts w:hint="eastAsia" w:ascii="Times New Roman" w:hAnsi="Times New Roman" w:cs="Times New Roman"/>
                <w:szCs w:val="21"/>
                <w:highlight w:val="none"/>
                <w:u w:val="single"/>
                <w:lang w:val="en-US" w:eastAsia="zh-CN"/>
              </w:rPr>
              <w:t xml:space="preserve">2026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4</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17</w:t>
            </w:r>
            <w:r>
              <w:rPr>
                <w:rFonts w:hint="eastAsia" w:ascii="Times New Roman" w:hAnsi="Times New Roman" w:cs="Times New Roman"/>
                <w:szCs w:val="21"/>
                <w:highlight w:val="none"/>
                <w:u w:val="none"/>
                <w:lang w:val="en-US" w:eastAsia="zh-CN"/>
              </w:rPr>
              <w:t>日前</w:t>
            </w:r>
            <w:permEnd w:id="34"/>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5"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5"/>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6"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6"/>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2791022D">
            <w:pPr>
              <w:autoSpaceDE w:val="0"/>
              <w:autoSpaceDN w:val="0"/>
              <w:adjustRightInd w:val="0"/>
              <w:snapToGrid w:val="0"/>
              <w:spacing w:line="440" w:lineRule="exact"/>
              <w:ind w:firstLine="308" w:firstLineChars="147"/>
              <w:jc w:val="left"/>
              <w:rPr>
                <w:rFonts w:hint="eastAsia" w:hAnsi="宋体"/>
                <w:color w:val="FF0000"/>
                <w:szCs w:val="21"/>
              </w:rPr>
            </w:pPr>
            <w:permStart w:id="37" w:edGrp="everyone"/>
            <w:r>
              <w:rPr>
                <w:rFonts w:hint="eastAsia" w:hAnsi="宋体"/>
                <w:color w:val="FF0000"/>
                <w:szCs w:val="21"/>
              </w:rPr>
              <w:t>不需要</w:t>
            </w:r>
            <w:r>
              <w:rPr>
                <w:rFonts w:hint="eastAsia" w:hAnsi="宋体"/>
                <w:color w:val="FF0000"/>
                <w:szCs w:val="21"/>
              </w:rPr>
              <w:sym w:font="Wingdings 2" w:char="00A3"/>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7"/>
            <w:r>
              <w:rPr>
                <w:rFonts w:hint="default" w:ascii="Times New Roman" w:hAnsi="Times New Roman" w:cs="Times New Roman"/>
                <w:szCs w:val="21"/>
                <w:highlight w:val="none"/>
              </w:rPr>
              <w:t>的形式：</w:t>
            </w:r>
            <w:permStart w:id="38" w:edGrp="everyone"/>
            <w:r>
              <w:rPr>
                <w:rFonts w:hint="default" w:ascii="Times New Roman" w:hAnsi="Times New Roman" w:cs="Times New Roman"/>
                <w:color w:val="FF0000"/>
                <w:szCs w:val="21"/>
                <w:highlight w:val="none"/>
              </w:rPr>
              <w:t>银行汇款或转账</w:t>
            </w:r>
            <w:permEnd w:id="38"/>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9" w:edGrp="everyone"/>
            <w:r>
              <w:rPr>
                <w:rFonts w:hint="eastAsia" w:ascii="Times New Roman" w:hAnsi="Times New Roman" w:cs="Times New Roman"/>
                <w:color w:val="auto"/>
                <w:szCs w:val="21"/>
                <w:highlight w:val="none"/>
                <w:u w:val="single"/>
                <w:lang w:val="en-US" w:eastAsia="zh-CN"/>
              </w:rPr>
              <w:t xml:space="preserve">  10000元  </w:t>
            </w:r>
            <w:permEnd w:id="39"/>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366F5AE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开户名称：亳州交通投资控股集团有限公司</w:t>
            </w:r>
          </w:p>
          <w:p w14:paraId="65DF5E2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开户银行：中国农业银行亳州分行营业部</w:t>
            </w:r>
          </w:p>
          <w:p w14:paraId="655230F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0" w:edGrp="everyone"/>
            <w:r>
              <w:rPr>
                <w:rFonts w:hint="eastAsia" w:ascii="Times New Roman" w:hAnsi="Times New Roman" w:cs="Times New Roman"/>
                <w:color w:val="FF0000"/>
                <w:szCs w:val="21"/>
                <w:highlight w:val="none"/>
                <w:lang w:val="en-US" w:eastAsia="zh-CN"/>
              </w:rPr>
              <w:t>BZJK-2026-002号保证金</w:t>
            </w:r>
            <w:permEnd w:id="40"/>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41"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41"/>
          </w:p>
          <w:p w14:paraId="6B6A56F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提交电子版响应文件的形式：响应文件电子版指供应商现场递交响应文件正本的扫描件（PDF格式）。供应商应于响应文件开启现场递交U盘（随同响应文件密封），或在开启程序完成后发送至电子邮箱bzjkfwbgys@163.com，本次项目响应文件电子版仅用于档案保存，不纳入评审范围。</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77BBEA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2" w:edGrp="everyone"/>
            <w:r>
              <w:rPr>
                <w:rFonts w:hint="eastAsia" w:ascii="Times New Roman" w:hAnsi="Times New Roman" w:cs="Times New Roman"/>
                <w:color w:val="FF0000"/>
                <w:szCs w:val="21"/>
                <w:highlight w:val="none"/>
                <w:lang w:val="en-US" w:eastAsia="zh-CN"/>
              </w:rPr>
              <w:t>开启地址：安徽省亳州市高新技术产业开发区神农大道与酒城大道交叉口西北高铁南站金融商务中心2号楼1层108开标室。</w:t>
            </w:r>
          </w:p>
          <w:p w14:paraId="5E76C77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采购人：亳州市晔瀚置业有限公司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single"/>
                <w:lang w:val="en-US" w:eastAsia="zh-CN"/>
              </w:rPr>
              <w:t>凤鸣书院项目二次加压供水设备采购及安装工程</w:t>
            </w:r>
            <w:r>
              <w:rPr>
                <w:rFonts w:hint="eastAsia" w:ascii="Times New Roman" w:hAnsi="Times New Roman" w:cs="Times New Roman"/>
                <w:color w:val="FF0000"/>
                <w:szCs w:val="21"/>
                <w:highlight w:val="none"/>
                <w:u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项目编号：BZJK-2026-002号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21</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2"/>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auto"/>
                <w:sz w:val="21"/>
                <w:szCs w:val="21"/>
                <w:highlight w:val="none"/>
                <w:u w:val="none"/>
                <w:lang w:val="en-US" w:eastAsia="zh-CN"/>
              </w:rPr>
              <w:t xml:space="preserve">  </w:t>
            </w:r>
            <w:r>
              <w:rPr>
                <w:rFonts w:hint="default" w:ascii="Times New Roman" w:hAnsi="Times New Roman" w:eastAsia="仿宋_GB2312" w:cs="Times New Roman"/>
                <w:color w:val="auto"/>
                <w:sz w:val="21"/>
                <w:szCs w:val="21"/>
                <w:highlight w:val="none"/>
                <w:lang w:val="en-US" w:eastAsia="zh-CN"/>
              </w:rPr>
              <w:sym w:font="Wingdings" w:char="00FE"/>
            </w:r>
            <w:r>
              <w:rPr>
                <w:rFonts w:hint="eastAsia" w:ascii="Times New Roman" w:hAnsi="Times New Roman" w:cs="Times New Roman"/>
                <w:szCs w:val="21"/>
                <w:highlight w:val="none"/>
                <w:lang w:val="en-US" w:eastAsia="zh-CN"/>
              </w:rPr>
              <w:t>不转换</w:t>
            </w:r>
            <w:r>
              <w:rPr>
                <w:rFonts w:hint="eastAsia" w:asciiTheme="minorEastAsia" w:hAnsiTheme="minorEastAsia" w:cstheme="minorEastAsia"/>
                <w:color w:val="auto"/>
                <w:sz w:val="21"/>
                <w:szCs w:val="21"/>
                <w:highlight w:val="none"/>
                <w:lang w:val="en-US" w:eastAsia="zh-CN"/>
              </w:rPr>
              <w:t xml:space="preserve">   </w:t>
            </w:r>
            <w:r>
              <w:rPr>
                <w:rFonts w:hint="default" w:ascii="Times New Roman" w:hAnsi="Times New Roman" w:eastAsia="仿宋_GB2312" w:cs="Times New Roman"/>
                <w:color w:val="auto"/>
                <w:sz w:val="21"/>
                <w:szCs w:val="21"/>
                <w:highlight w:val="none"/>
                <w:lang w:val="en-US" w:eastAsia="zh-CN"/>
              </w:rPr>
              <w:sym w:font="Wingdings" w:char="00A8"/>
            </w:r>
            <w:r>
              <w:rPr>
                <w:rFonts w:hint="eastAsia" w:ascii="Times New Roman" w:hAnsi="Times New Roman" w:cs="Times New Roman"/>
                <w:szCs w:val="21"/>
                <w:highlight w:val="none"/>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3"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亳州交控集团招投标中心 张工、田工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安徽省亳州市高新技术产业开发区神农大道与酒城大道交叉口西北高铁南站金融商务中心2号楼5层514室</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供应商或其他利害关系人应按照询比文件规定的程序提出异议，否则视为无效异议，不予受理。</w:t>
            </w:r>
            <w:permEnd w:id="43"/>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不要求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4"/>
          <w:p w14:paraId="194D93FB">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eastAsia" w:ascii="Times New Roman" w:hAnsi="Times New Roman" w:cs="Times New Roman"/>
                <w:b/>
                <w:bCs/>
                <w:color w:val="FF0000"/>
                <w:szCs w:val="21"/>
                <w:highlight w:val="none"/>
                <w:lang w:val="en-US" w:eastAsia="zh-CN"/>
              </w:rPr>
            </w:pPr>
            <w:permStart w:id="45"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
          <w:p w14:paraId="04096F15">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开户名称：</w:t>
            </w:r>
            <w:r>
              <w:rPr>
                <w:rFonts w:hint="eastAsia" w:ascii="Times New Roman" w:hAnsi="Times New Roman" w:cs="Times New Roman"/>
                <w:szCs w:val="21"/>
                <w:highlight w:val="none"/>
                <w:lang w:val="en-US" w:eastAsia="zh-CN"/>
              </w:rPr>
              <w:t>亳州市晔瀚置业有限公司</w:t>
            </w:r>
          </w:p>
          <w:p w14:paraId="5D13BBC3">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开户银行：交行亳州分行营业部</w:t>
            </w:r>
          </w:p>
          <w:p w14:paraId="32D96688">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银行账号：573240000013000176965</w:t>
            </w:r>
          </w:p>
          <w:p w14:paraId="101878F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color w:val="FF0000"/>
                <w:szCs w:val="21"/>
                <w:highlight w:val="none"/>
                <w:lang w:val="en-US" w:eastAsia="zh-CN"/>
              </w:rPr>
              <w:t>提示：汇款时注意“亳（音bó）州”二字，请勿打错成“毫（háo）州”。</w:t>
            </w:r>
            <w:r>
              <w:rPr>
                <w:rFonts w:hint="eastAsia" w:ascii="Times New Roman" w:hAnsi="Times New Roman" w:cs="Times New Roman"/>
                <w:b/>
                <w:bCs/>
                <w:color w:val="FF0000"/>
                <w:szCs w:val="21"/>
                <w:highlight w:val="none"/>
                <w:lang w:val="en-US" w:eastAsia="zh-CN"/>
              </w:rPr>
              <w:t xml:space="preserve"> </w:t>
            </w:r>
            <w:permEnd w:id="45"/>
          </w:p>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6"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6"/>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7" w:edGrp="everyone"/>
            <w:r>
              <w:rPr>
                <w:rFonts w:hint="eastAsia" w:ascii="Times New Roman" w:hAnsi="Times New Roman" w:cs="Times New Roman"/>
                <w:b/>
                <w:bCs/>
                <w:color w:val="FF0000"/>
                <w:szCs w:val="21"/>
                <w:highlight w:val="none"/>
                <w:lang w:val="en-US" w:eastAsia="zh-CN"/>
              </w:rPr>
              <w:t xml:space="preserve">40000.00元  </w:t>
            </w:r>
            <w:permEnd w:id="47"/>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设备全部安装完成且无质量问题（或质量问题已解决）后退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8"/>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52042308"/>
      <w:bookmarkStart w:id="17" w:name="_Toc246996178"/>
      <w:bookmarkStart w:id="18" w:name="_Toc179632549"/>
      <w:bookmarkStart w:id="19" w:name="_Toc152045532"/>
      <w:bookmarkStart w:id="20" w:name="_Toc296602423"/>
      <w:bookmarkStart w:id="21" w:name="_Toc247085692"/>
      <w:bookmarkStart w:id="22" w:name="_Toc144974500"/>
      <w:bookmarkStart w:id="23" w:name="_Toc246996921"/>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rPr>
        <w:t>规定的其他情形</w:t>
      </w:r>
      <w:r>
        <w:rPr>
          <w:rFonts w:hint="eastAsia"/>
          <w:lang w:eastAsia="zh-CN"/>
        </w:rPr>
        <w:t>。</w:t>
      </w:r>
    </w:p>
    <w:p w14:paraId="06B581F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2312"/>
      <w:bookmarkStart w:id="25" w:name="_Toc247085695"/>
      <w:bookmarkStart w:id="26" w:name="_Toc246996924"/>
      <w:bookmarkStart w:id="27" w:name="_Toc296602426"/>
      <w:bookmarkStart w:id="28" w:name="_Toc152045536"/>
      <w:bookmarkStart w:id="29" w:name="_Toc246996181"/>
      <w:bookmarkStart w:id="30" w:name="_Toc144974504"/>
      <w:bookmarkStart w:id="31" w:name="_Toc179632553"/>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7085696"/>
      <w:bookmarkStart w:id="34" w:name="_Toc246996182"/>
      <w:bookmarkStart w:id="35" w:name="_Toc152045537"/>
      <w:bookmarkStart w:id="36" w:name="_Toc296602427"/>
      <w:bookmarkStart w:id="37" w:name="_Toc152042313"/>
      <w:bookmarkStart w:id="38" w:name="_Toc179632554"/>
      <w:bookmarkStart w:id="39" w:name="_Toc246996925"/>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247085697"/>
      <w:bookmarkStart w:id="41" w:name="_Toc152042314"/>
      <w:bookmarkStart w:id="42" w:name="_Toc179632555"/>
      <w:bookmarkStart w:id="43" w:name="_Toc246996926"/>
      <w:bookmarkStart w:id="44" w:name="_Toc152045538"/>
      <w:bookmarkStart w:id="45" w:name="_Toc246996183"/>
      <w:bookmarkStart w:id="46" w:name="_Toc14497450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7085701"/>
      <w:bookmarkStart w:id="48" w:name="_Toc246996187"/>
      <w:bookmarkStart w:id="49" w:name="_Toc144974510"/>
      <w:bookmarkStart w:id="50" w:name="_Toc179632560"/>
      <w:bookmarkStart w:id="51" w:name="_Toc152045542"/>
      <w:bookmarkStart w:id="52" w:name="_Toc246996930"/>
      <w:bookmarkStart w:id="53" w:name="_Toc152042318"/>
      <w:bookmarkStart w:id="54" w:name="_Toc296602432"/>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52042319"/>
      <w:bookmarkStart w:id="56" w:name="_Toc246996188"/>
      <w:bookmarkStart w:id="57" w:name="_Toc246996931"/>
      <w:bookmarkStart w:id="58" w:name="_Toc247085702"/>
      <w:bookmarkStart w:id="59" w:name="_Toc152045543"/>
      <w:bookmarkStart w:id="60" w:name="_Toc144974511"/>
      <w:bookmarkStart w:id="61" w:name="_Toc179632561"/>
      <w:bookmarkStart w:id="62" w:name="_Toc296602433"/>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46996932"/>
      <w:bookmarkStart w:id="64" w:name="_Toc144974512"/>
      <w:bookmarkStart w:id="65" w:name="_Toc247085703"/>
      <w:bookmarkStart w:id="66" w:name="_Toc152042320"/>
      <w:bookmarkStart w:id="67" w:name="_Toc179632562"/>
      <w:bookmarkStart w:id="68" w:name="_Toc152045544"/>
      <w:bookmarkStart w:id="69" w:name="_Toc296602434"/>
      <w:bookmarkStart w:id="70" w:name="_Toc246996189"/>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96602435"/>
      <w:bookmarkStart w:id="72" w:name="_Toc179632563"/>
      <w:bookmarkStart w:id="73" w:name="_Toc144974513"/>
      <w:bookmarkStart w:id="74" w:name="_Toc152042321"/>
      <w:bookmarkStart w:id="75" w:name="_Toc152045545"/>
      <w:bookmarkStart w:id="76" w:name="_Toc246996190"/>
      <w:bookmarkStart w:id="77" w:name="_Toc247085704"/>
      <w:bookmarkStart w:id="78" w:name="_Toc246996933"/>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152045546"/>
      <w:bookmarkStart w:id="80" w:name="_Toc246996934"/>
      <w:bookmarkStart w:id="81" w:name="_Toc246996191"/>
      <w:bookmarkStart w:id="82" w:name="_Toc179632564"/>
      <w:bookmarkStart w:id="83" w:name="_Toc152042322"/>
      <w:bookmarkStart w:id="84" w:name="_Toc144974514"/>
      <w:bookmarkStart w:id="85" w:name="_Toc296602436"/>
      <w:bookmarkStart w:id="86" w:name="_Toc247085705"/>
      <w:r>
        <w:rPr>
          <w:rFonts w:hint="eastAsia"/>
          <w:lang w:eastAsia="zh-CN"/>
        </w:rPr>
        <w:t>。</w:t>
      </w:r>
    </w:p>
    <w:p w14:paraId="49D07759">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46996935"/>
      <w:bookmarkStart w:id="88" w:name="_Toc296602437"/>
      <w:bookmarkStart w:id="89" w:name="_Toc246996192"/>
      <w:bookmarkStart w:id="90" w:name="_Toc179632565"/>
      <w:bookmarkStart w:id="91" w:name="_Toc247085706"/>
      <w:bookmarkStart w:id="92" w:name="_Toc152045547"/>
      <w:bookmarkStart w:id="93" w:name="_Toc144974515"/>
      <w:bookmarkStart w:id="94" w:name="_Toc152042323"/>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52045548"/>
      <w:bookmarkStart w:id="96" w:name="_Toc247085707"/>
      <w:bookmarkStart w:id="97" w:name="_Toc144974516"/>
      <w:bookmarkStart w:id="98" w:name="_Toc246996936"/>
      <w:bookmarkStart w:id="99" w:name="_Toc246996193"/>
      <w:bookmarkStart w:id="100" w:name="_Toc152042324"/>
      <w:bookmarkStart w:id="101" w:name="_Toc179632566"/>
      <w:bookmarkStart w:id="102" w:name="_Toc296602438"/>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5549"/>
      <w:bookmarkStart w:id="104" w:name="_Toc179632567"/>
      <w:bookmarkStart w:id="105" w:name="_Toc152042325"/>
      <w:bookmarkStart w:id="106"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96602439"/>
      <w:bookmarkStart w:id="108" w:name="_Toc246996937"/>
      <w:bookmarkStart w:id="109" w:name="_Toc247085708"/>
      <w:bookmarkStart w:id="110" w:name="_Toc246996194"/>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23"/>
      <w:bookmarkStart w:id="112" w:name="_Toc152045555"/>
      <w:bookmarkStart w:id="113" w:name="_Toc246996199"/>
      <w:bookmarkStart w:id="114" w:name="_Toc296602443"/>
      <w:bookmarkStart w:id="115" w:name="_Toc247085713"/>
      <w:bookmarkStart w:id="116" w:name="_Toc246996942"/>
      <w:bookmarkStart w:id="117" w:name="_Toc152042331"/>
      <w:bookmarkStart w:id="118" w:name="_Toc179632573"/>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5556"/>
      <w:bookmarkStart w:id="120" w:name="_Toc152042332"/>
      <w:bookmarkStart w:id="121" w:name="_Toc179632574"/>
      <w:bookmarkStart w:id="122" w:name="_Toc246996943"/>
      <w:bookmarkStart w:id="123" w:name="_Toc246996200"/>
      <w:bookmarkStart w:id="124" w:name="_Toc247085714"/>
      <w:bookmarkStart w:id="125" w:name="_Toc296602444"/>
      <w:bookmarkStart w:id="126" w:name="_Toc14497452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52045557"/>
      <w:bookmarkStart w:id="128" w:name="_Toc246996944"/>
      <w:bookmarkStart w:id="129" w:name="_Toc144974525"/>
      <w:bookmarkStart w:id="130" w:name="_Toc152042333"/>
      <w:bookmarkStart w:id="131" w:name="_Toc246996201"/>
      <w:bookmarkStart w:id="132" w:name="_Toc179632575"/>
      <w:bookmarkStart w:id="133" w:name="_Toc24708571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2"/>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96602446"/>
      <w:bookmarkStart w:id="135" w:name="_Toc247085716"/>
      <w:bookmarkStart w:id="136" w:name="_Toc152042334"/>
      <w:bookmarkStart w:id="137" w:name="_Toc246996945"/>
      <w:bookmarkStart w:id="138" w:name="_Toc152045558"/>
      <w:bookmarkStart w:id="139" w:name="_Toc179632576"/>
      <w:bookmarkStart w:id="140" w:name="_Toc246996202"/>
      <w:bookmarkStart w:id="141" w:name="_Toc14497452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247085717"/>
      <w:bookmarkStart w:id="143" w:name="_Toc179632577"/>
      <w:bookmarkStart w:id="144" w:name="_Toc246996946"/>
      <w:bookmarkStart w:id="145" w:name="_Toc296602447"/>
      <w:bookmarkStart w:id="146" w:name="_Toc144974527"/>
      <w:bookmarkStart w:id="147" w:name="_Toc152045559"/>
      <w:bookmarkStart w:id="148" w:name="_Toc152042335"/>
      <w:bookmarkStart w:id="149" w:name="_Toc246996203"/>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5560"/>
      <w:bookmarkStart w:id="151" w:name="_Toc152042336"/>
      <w:bookmarkStart w:id="152" w:name="_Toc296602448"/>
      <w:bookmarkStart w:id="153" w:name="_Toc246996947"/>
      <w:bookmarkStart w:id="154" w:name="_Toc179632578"/>
      <w:bookmarkStart w:id="155" w:name="_Toc144974528"/>
      <w:bookmarkStart w:id="156" w:name="_Toc247085718"/>
      <w:bookmarkStart w:id="157" w:name="_Toc246996204"/>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44974529"/>
      <w:bookmarkStart w:id="159" w:name="_Toc152042337"/>
      <w:bookmarkStart w:id="160" w:name="_Toc246996205"/>
      <w:bookmarkStart w:id="161" w:name="_Toc179632579"/>
      <w:bookmarkStart w:id="162" w:name="_Toc247085719"/>
      <w:bookmarkStart w:id="163" w:name="_Toc246996948"/>
      <w:bookmarkStart w:id="164" w:name="_Toc296602449"/>
      <w:bookmarkStart w:id="165" w:name="_Toc152045561"/>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询比响应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r>
        <w:rPr>
          <w:rFonts w:hint="eastAsia"/>
          <w:lang w:eastAsia="zh-CN"/>
        </w:rPr>
        <w:t>。</w:t>
      </w:r>
    </w:p>
    <w:p w14:paraId="4733C9B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79632581"/>
      <w:bookmarkStart w:id="167" w:name="_Toc247085721"/>
      <w:bookmarkStart w:id="168" w:name="_Toc296602452"/>
      <w:bookmarkStart w:id="169" w:name="_Toc246996950"/>
      <w:bookmarkStart w:id="170" w:name="_Toc144974531"/>
      <w:bookmarkStart w:id="171" w:name="_Toc152042339"/>
      <w:bookmarkStart w:id="172" w:name="_Toc152045563"/>
      <w:bookmarkStart w:id="173" w:name="_Toc246996207"/>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keepNext w:val="0"/>
        <w:keepLines w:val="0"/>
        <w:pageBreakBefore w:val="0"/>
        <w:widowControl w:val="0"/>
        <w:kinsoku/>
        <w:wordWrap/>
        <w:overflowPunct/>
        <w:topLinePunct w:val="0"/>
        <w:autoSpaceDE/>
        <w:autoSpaceDN/>
        <w:bidi w:val="0"/>
        <w:adjustRightInd/>
        <w:snapToGrid/>
        <w:spacing w:line="36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keepNext w:val="0"/>
        <w:keepLines w:val="0"/>
        <w:pageBreakBefore w:val="0"/>
        <w:widowControl w:val="0"/>
        <w:kinsoku/>
        <w:wordWrap/>
        <w:overflowPunct/>
        <w:topLinePunct w:val="0"/>
        <w:autoSpaceDE/>
        <w:autoSpaceDN/>
        <w:bidi w:val="0"/>
        <w:adjustRightInd/>
        <w:snapToGrid/>
        <w:spacing w:line="36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keepNext w:val="0"/>
        <w:keepLines w:val="0"/>
        <w:pageBreakBefore w:val="0"/>
        <w:widowControl w:val="0"/>
        <w:kinsoku/>
        <w:wordWrap/>
        <w:overflowPunct/>
        <w:topLinePunct w:val="0"/>
        <w:autoSpaceDE/>
        <w:autoSpaceDN/>
        <w:bidi w:val="0"/>
        <w:adjustRightInd/>
        <w:snapToGrid/>
        <w:spacing w:line="36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keepNext w:val="0"/>
        <w:keepLines w:val="0"/>
        <w:pageBreakBefore w:val="0"/>
        <w:widowControl w:val="0"/>
        <w:kinsoku/>
        <w:wordWrap/>
        <w:overflowPunct/>
        <w:topLinePunct w:val="0"/>
        <w:autoSpaceDE/>
        <w:autoSpaceDN/>
        <w:bidi w:val="0"/>
        <w:adjustRightInd/>
        <w:snapToGrid/>
        <w:spacing w:line="36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keepNext w:val="0"/>
        <w:keepLines w:val="0"/>
        <w:pageBreakBefore w:val="0"/>
        <w:widowControl w:val="0"/>
        <w:kinsoku/>
        <w:wordWrap/>
        <w:overflowPunct/>
        <w:topLinePunct w:val="0"/>
        <w:autoSpaceDE/>
        <w:autoSpaceDN/>
        <w:bidi w:val="0"/>
        <w:adjustRightInd/>
        <w:snapToGrid/>
        <w:spacing w:line="36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keepNext w:val="0"/>
        <w:keepLines w:val="0"/>
        <w:pageBreakBefore w:val="0"/>
        <w:widowControl w:val="0"/>
        <w:kinsoku/>
        <w:wordWrap/>
        <w:overflowPunct/>
        <w:topLinePunct w:val="0"/>
        <w:autoSpaceDE/>
        <w:autoSpaceDN/>
        <w:bidi w:val="0"/>
        <w:adjustRightInd/>
        <w:snapToGrid/>
        <w:spacing w:line="36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keepNext w:val="0"/>
        <w:keepLines w:val="0"/>
        <w:pageBreakBefore w:val="0"/>
        <w:widowControl w:val="0"/>
        <w:kinsoku/>
        <w:wordWrap/>
        <w:overflowPunct/>
        <w:topLinePunct w:val="0"/>
        <w:autoSpaceDE/>
        <w:autoSpaceDN/>
        <w:bidi w:val="0"/>
        <w:adjustRightInd/>
        <w:snapToGrid/>
        <w:spacing w:line="36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keepNext w:val="0"/>
        <w:keepLines w:val="0"/>
        <w:pageBreakBefore w:val="0"/>
        <w:widowControl w:val="0"/>
        <w:kinsoku/>
        <w:wordWrap/>
        <w:overflowPunct/>
        <w:topLinePunct w:val="0"/>
        <w:autoSpaceDE/>
        <w:autoSpaceDN/>
        <w:bidi w:val="0"/>
        <w:adjustRightInd/>
        <w:snapToGrid/>
        <w:spacing w:line="36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keepNext w:val="0"/>
        <w:keepLines w:val="0"/>
        <w:pageBreakBefore w:val="0"/>
        <w:widowControl w:val="0"/>
        <w:kinsoku/>
        <w:wordWrap/>
        <w:overflowPunct/>
        <w:topLinePunct w:val="0"/>
        <w:autoSpaceDE/>
        <w:autoSpaceDN/>
        <w:bidi w:val="0"/>
        <w:adjustRightInd/>
        <w:snapToGrid/>
        <w:spacing w:line="36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keepNext w:val="0"/>
        <w:keepLines w:val="0"/>
        <w:pageBreakBefore w:val="0"/>
        <w:widowControl w:val="0"/>
        <w:kinsoku/>
        <w:wordWrap/>
        <w:overflowPunct/>
        <w:topLinePunct w:val="0"/>
        <w:autoSpaceDE/>
        <w:autoSpaceDN/>
        <w:bidi w:val="0"/>
        <w:adjustRightInd/>
        <w:snapToGrid/>
        <w:spacing w:line="36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rPr>
      </w:pPr>
      <w:r>
        <w:rPr>
          <w:rFonts w:hint="eastAsia"/>
          <w:lang w:val="en-US" w:eastAsia="zh-CN"/>
        </w:rPr>
        <w:t>18</w:t>
      </w:r>
      <w:r>
        <w:rPr>
          <w:rFonts w:hint="eastAsia"/>
        </w:rPr>
        <w:t>.3 异议</w:t>
      </w:r>
    </w:p>
    <w:p w14:paraId="2654803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46996953"/>
      <w:bookmarkStart w:id="175" w:name="_Toc152042342"/>
      <w:bookmarkStart w:id="176" w:name="_Toc246996210"/>
      <w:bookmarkStart w:id="177" w:name="_Toc179632584"/>
      <w:bookmarkStart w:id="178" w:name="_Toc144974534"/>
      <w:bookmarkStart w:id="179" w:name="_Toc296602455"/>
      <w:bookmarkStart w:id="180" w:name="_Toc247085724"/>
      <w:bookmarkStart w:id="181" w:name="_Toc152045566"/>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79632585"/>
      <w:bookmarkStart w:id="183" w:name="_Toc152042343"/>
      <w:bookmarkStart w:id="184" w:name="_Toc144974535"/>
      <w:bookmarkStart w:id="185" w:name="_Toc152045567"/>
      <w:bookmarkStart w:id="186" w:name="_Toc246996211"/>
      <w:bookmarkStart w:id="187" w:name="_Toc296602456"/>
      <w:bookmarkStart w:id="188" w:name="_Toc246996954"/>
      <w:bookmarkStart w:id="189" w:name="_Toc247085725"/>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96602458"/>
      <w:bookmarkStart w:id="192" w:name="_Toc144974536"/>
      <w:bookmarkStart w:id="193" w:name="_Toc246996212"/>
      <w:bookmarkStart w:id="194" w:name="_Toc152045568"/>
      <w:bookmarkStart w:id="195" w:name="_Toc246996955"/>
      <w:bookmarkStart w:id="196" w:name="_Toc179632586"/>
      <w:bookmarkStart w:id="197" w:name="_Toc247085726"/>
      <w:bookmarkStart w:id="198" w:name="_Toc152042344"/>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46996213"/>
      <w:bookmarkStart w:id="200" w:name="_Toc152042345"/>
      <w:bookmarkStart w:id="201" w:name="_Toc144974537"/>
      <w:bookmarkStart w:id="202" w:name="_Toc152045569"/>
      <w:bookmarkStart w:id="203" w:name="_Toc296602459"/>
      <w:bookmarkStart w:id="204" w:name="_Toc246996956"/>
      <w:bookmarkStart w:id="205" w:name="_Toc247085727"/>
      <w:bookmarkStart w:id="206" w:name="_Toc179632587"/>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96590983"/>
      <w:bookmarkStart w:id="209" w:name="_Toc246996962"/>
      <w:bookmarkStart w:id="210" w:name="_Toc152045575"/>
      <w:bookmarkStart w:id="211" w:name="_Toc152042351"/>
      <w:bookmarkStart w:id="212" w:name="_Toc144974543"/>
      <w:bookmarkStart w:id="213" w:name="_Toc246996219"/>
      <w:bookmarkStart w:id="214" w:name="_Toc247085733"/>
      <w:bookmarkStart w:id="215" w:name="_Toc296602462"/>
      <w:bookmarkStart w:id="216" w:name="_Toc179632593"/>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4"/>
        <w:bidi w:val="0"/>
        <w:rPr>
          <w:rFonts w:hint="eastAsia" w:eastAsia="黑体"/>
          <w:lang w:eastAsia="zh-CN"/>
        </w:rPr>
      </w:pPr>
      <w:bookmarkStart w:id="217" w:name="_Toc246996963"/>
      <w:bookmarkStart w:id="218" w:name="_Toc296602463"/>
      <w:bookmarkStart w:id="219" w:name="_Toc152045576"/>
      <w:bookmarkStart w:id="220" w:name="_Toc144974544"/>
      <w:bookmarkStart w:id="221" w:name="_Toc152042352"/>
      <w:bookmarkStart w:id="222" w:name="_Toc179632594"/>
      <w:bookmarkStart w:id="223" w:name="_Toc246996220"/>
      <w:bookmarkStart w:id="224" w:name="_Toc247085734"/>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144974545"/>
      <w:bookmarkStart w:id="226" w:name="_Toc296602464"/>
      <w:bookmarkStart w:id="227" w:name="_Toc152042353"/>
      <w:bookmarkStart w:id="228" w:name="_Toc247085735"/>
      <w:bookmarkStart w:id="229" w:name="_Toc246996221"/>
      <w:bookmarkStart w:id="230" w:name="_Toc246996964"/>
      <w:bookmarkStart w:id="231" w:name="_Toc179632595"/>
      <w:bookmarkStart w:id="232" w:name="_Toc152045577"/>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9" w:edGrp="everyone"/>
      <w:r>
        <w:rPr>
          <w:rFonts w:hint="eastAsia" w:ascii="宋体" w:hAnsi="宋体"/>
          <w:color w:val="FF0000"/>
          <w:sz w:val="24"/>
          <w:lang w:val="en-US" w:eastAsia="zh-CN"/>
        </w:rPr>
        <w:t>综合评估法</w:t>
      </w:r>
      <w:permEnd w:id="49"/>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427D11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C93CB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33" w:name="_Toc152045589"/>
            <w:bookmarkStart w:id="234" w:name="_Toc152042366"/>
            <w:bookmarkStart w:id="235" w:name="_Toc179632607"/>
            <w:bookmarkStart w:id="236" w:name="_Toc246996975"/>
            <w:bookmarkStart w:id="237" w:name="_Toc246996232"/>
            <w:bookmarkStart w:id="238" w:name="_Toc247085747"/>
            <w:bookmarkStart w:id="239" w:name="_Toc144974556"/>
            <w:bookmarkStart w:id="240" w:name="_Toc296602477"/>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528EB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4DAB0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746114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5075C4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D5007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DC5646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E832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noWrap w:val="0"/>
            <w:vAlign w:val="center"/>
          </w:tcPr>
          <w:p w14:paraId="19A35C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eastAsiaTheme="minorEastAsia"/>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9CB8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0A6678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998CC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461D57B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E65DC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供应商名称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CFD9D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与营业执照一致</w:t>
            </w:r>
          </w:p>
        </w:tc>
      </w:tr>
      <w:tr w14:paraId="189B6E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04886E6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88E9C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报价函及附录签字盖章</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CFEEE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有法定代表人或其委托代理人签字或加盖单位公章</w:t>
            </w:r>
          </w:p>
        </w:tc>
      </w:tr>
      <w:tr w14:paraId="43C5A5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7FB522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4560F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响应文件格式</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346DB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符合询比文件要求(格式附后)</w:t>
            </w:r>
          </w:p>
        </w:tc>
      </w:tr>
      <w:tr w14:paraId="4F2946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7E26ED3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F0B4C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7DACA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b w:val="0"/>
                <w:bCs w:val="0"/>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只能有一个有效报价</w:t>
            </w:r>
          </w:p>
        </w:tc>
      </w:tr>
      <w:tr w14:paraId="31A473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063BBE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9EB2B5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C28A10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058F1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7060261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878F3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6430B5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161B0F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3A225B3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4D083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3DF87C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7EA8ED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BBCB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57A818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4C8EAB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F21CB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F14A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471E5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583B7E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50D3B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693086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F577B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6D5770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AF8A5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1C0732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D768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E46152E">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D95FA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344290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F77F1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13246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r>
              <w:rPr>
                <w:rFonts w:hint="eastAsia" w:ascii="Times New Roman" w:hAnsi="Times New Roman" w:cs="Times New Roman"/>
                <w:kern w:val="0"/>
                <w:sz w:val="24"/>
                <w:szCs w:val="24"/>
                <w:highlight w:val="none"/>
                <w:lang w:eastAsia="zh-CN"/>
              </w:rPr>
              <w:t>。</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58AF326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b/>
          <w:bCs/>
          <w:kern w:val="0"/>
          <w:sz w:val="28"/>
          <w:szCs w:val="28"/>
          <w:highlight w:val="none"/>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3392E8F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bookmarkStart w:id="241" w:name="_Toc144974563"/>
      <w:bookmarkStart w:id="242" w:name="_Toc246996982"/>
      <w:bookmarkStart w:id="243" w:name="_Toc152042373"/>
      <w:bookmarkStart w:id="244" w:name="_Toc179632614"/>
      <w:bookmarkStart w:id="245" w:name="_Toc296602484"/>
      <w:bookmarkStart w:id="246" w:name="_Toc247085754"/>
      <w:bookmarkStart w:id="247" w:name="_Toc246996239"/>
      <w:bookmarkStart w:id="248" w:name="_Toc152045596"/>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按照以下评分细则对供应商递交的响应文件进行详细评分</w:t>
      </w:r>
      <w:r>
        <w:rPr>
          <w:rFonts w:hint="eastAsia" w:ascii="宋体" w:hAnsi="宋体"/>
          <w:color w:val="FF0000"/>
          <w:sz w:val="24"/>
          <w:highlight w:val="yellow"/>
          <w:lang w:val="en-US" w:eastAsia="zh-CN"/>
        </w:rPr>
        <w:t>（适用于综合评估法）</w:t>
      </w:r>
      <w:r>
        <w:rPr>
          <w:rFonts w:hint="eastAsia" w:ascii="宋体" w:hAnsi="宋体"/>
          <w:sz w:val="24"/>
          <w:lang w:val="en-US" w:eastAsia="zh-CN"/>
        </w:rPr>
        <w:t>。</w:t>
      </w:r>
    </w:p>
    <w:p w14:paraId="5FB962C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《评分细则》如下：</w:t>
      </w: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14951B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6C8F0F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1"/>
                <w:szCs w:val="21"/>
                <w:highlight w:val="none"/>
                <w:lang w:val="en-US" w:eastAsia="zh-CN"/>
              </w:rPr>
            </w:pPr>
            <w:r>
              <w:rPr>
                <w:rFonts w:hint="eastAsia" w:ascii="Times New Roman" w:hAnsi="Times New Roman" w:cs="Times New Roman"/>
                <w:b/>
                <w:bCs/>
                <w:kern w:val="0"/>
                <w:sz w:val="21"/>
                <w:szCs w:val="21"/>
                <w:highlight w:val="none"/>
                <w:lang w:val="en-US" w:eastAsia="zh-CN"/>
              </w:rPr>
              <w:t>评审项</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43DD1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1"/>
                <w:szCs w:val="21"/>
                <w:highlight w:val="none"/>
                <w:lang w:val="en-US" w:eastAsia="zh-CN"/>
              </w:rPr>
            </w:pPr>
            <w:r>
              <w:rPr>
                <w:rFonts w:hint="eastAsia" w:ascii="Times New Roman" w:hAnsi="Times New Roman" w:cs="Times New Roman"/>
                <w:b/>
                <w:bCs/>
                <w:kern w:val="0"/>
                <w:sz w:val="21"/>
                <w:szCs w:val="21"/>
                <w:highlight w:val="none"/>
                <w:lang w:val="en-US" w:eastAsia="zh-CN"/>
              </w:rPr>
              <w:t>分值</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C21C4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1"/>
                <w:szCs w:val="21"/>
                <w:highlight w:val="none"/>
                <w:lang w:val="en-US" w:eastAsia="zh-CN"/>
              </w:rPr>
            </w:pPr>
            <w:r>
              <w:rPr>
                <w:rFonts w:hint="default" w:ascii="Times New Roman" w:hAnsi="Times New Roman" w:cs="Times New Roman"/>
                <w:b/>
                <w:bCs/>
                <w:kern w:val="0"/>
                <w:sz w:val="21"/>
                <w:szCs w:val="21"/>
                <w:highlight w:val="none"/>
                <w:lang w:val="en-US" w:eastAsia="zh-CN"/>
              </w:rPr>
              <w:t>评分标准</w:t>
            </w:r>
          </w:p>
        </w:tc>
      </w:tr>
      <w:tr w14:paraId="3DDB86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6820" w:type="dxa"/>
          <w:trHeight w:val="312" w:hRule="atLeast"/>
        </w:trPr>
        <w:tc>
          <w:tcPr>
            <w:tcW w:w="1700" w:type="dxa"/>
            <w:vMerge w:val="restart"/>
            <w:tcBorders>
              <w:top w:val="single" w:color="auto" w:sz="4" w:space="0"/>
              <w:right w:val="single" w:color="auto" w:sz="4" w:space="0"/>
            </w:tcBorders>
            <w:noWrap w:val="0"/>
            <w:vAlign w:val="center"/>
          </w:tcPr>
          <w:p w14:paraId="1777C8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permStart w:id="50" w:edGrp="everyone" w:colFirst="0" w:colLast="0"/>
            <w:r>
              <w:rPr>
                <w:rFonts w:hint="eastAsia" w:ascii="Times New Roman" w:hAnsi="Times New Roman" w:cs="Times New Roman"/>
                <w:i w:val="0"/>
                <w:iCs w:val="0"/>
                <w:color w:val="auto"/>
                <w:kern w:val="0"/>
                <w:sz w:val="24"/>
                <w:szCs w:val="24"/>
                <w:highlight w:val="none"/>
                <w:lang w:val="en-US" w:eastAsia="zh-CN"/>
              </w:rPr>
              <w:t>资信业绩评分标准</w:t>
            </w:r>
          </w:p>
          <w:p w14:paraId="639C307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1"/>
                <w:szCs w:val="21"/>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20</w:t>
            </w:r>
            <w:r>
              <w:rPr>
                <w:rFonts w:hint="default" w:ascii="Times New Roman" w:hAnsi="Times New Roman" w:cs="Times New Roman"/>
                <w:i w:val="0"/>
                <w:iCs w:val="0"/>
                <w:color w:val="auto"/>
                <w:kern w:val="0"/>
                <w:sz w:val="24"/>
                <w:szCs w:val="24"/>
                <w:highlight w:val="none"/>
                <w:u w:val="single"/>
                <w:lang w:val="en-US" w:eastAsia="zh-CN"/>
              </w:rPr>
              <w:t>分）</w:t>
            </w:r>
          </w:p>
        </w:tc>
      </w:tr>
      <w:permEnd w:id="50"/>
      <w:tr w14:paraId="08DD72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6CD0A9C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permStart w:id="51" w:edGrp="everyone" w:colFirst="0" w:colLast="0"/>
            <w:permStart w:id="52" w:edGrp="everyone" w:colFirst="1" w:colLast="1"/>
            <w:permStart w:id="53"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0F3930E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i w:val="0"/>
                <w:iCs w:val="0"/>
                <w:color w:val="7030A0"/>
                <w:kern w:val="0"/>
                <w:sz w:val="24"/>
                <w:szCs w:val="24"/>
                <w:highlight w:val="none"/>
                <w:lang w:val="en-US" w:eastAsia="zh-CN"/>
              </w:rPr>
            </w:pPr>
            <w:r>
              <w:rPr>
                <w:rFonts w:hint="eastAsia" w:ascii="Times New Roman" w:hAnsi="Times New Roman" w:cs="Times New Roman"/>
                <w:i w:val="0"/>
                <w:iCs w:val="0"/>
                <w:color w:val="7030A0"/>
                <w:kern w:val="0"/>
                <w:sz w:val="24"/>
                <w:szCs w:val="24"/>
                <w:highlight w:val="none"/>
                <w:lang w:val="en-US" w:eastAsia="zh-CN"/>
              </w:rPr>
              <w:t>信誉</w:t>
            </w:r>
          </w:p>
          <w:p w14:paraId="61F9C59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i w:val="0"/>
                <w:iCs w:val="0"/>
                <w:color w:val="7030A0"/>
                <w:kern w:val="0"/>
                <w:sz w:val="21"/>
                <w:szCs w:val="21"/>
                <w:highlight w:val="none"/>
                <w:lang w:val="en-US" w:eastAsia="zh-CN"/>
              </w:rPr>
            </w:pPr>
            <w:r>
              <w:rPr>
                <w:rFonts w:hint="default" w:ascii="Times New Roman" w:hAnsi="Times New Roman" w:cs="Times New Roman"/>
                <w:i w:val="0"/>
                <w:iCs w:val="0"/>
                <w:color w:val="7030A0"/>
                <w:kern w:val="0"/>
                <w:sz w:val="24"/>
                <w:szCs w:val="24"/>
                <w:highlight w:val="none"/>
                <w:u w:val="single"/>
                <w:lang w:val="en-US" w:eastAsia="zh-CN"/>
              </w:rPr>
              <w:t>（</w:t>
            </w:r>
            <w:r>
              <w:rPr>
                <w:rFonts w:hint="eastAsia" w:ascii="Times New Roman" w:hAnsi="Times New Roman" w:cs="Times New Roman"/>
                <w:i w:val="0"/>
                <w:iCs w:val="0"/>
                <w:color w:val="7030A0"/>
                <w:kern w:val="0"/>
                <w:sz w:val="24"/>
                <w:szCs w:val="24"/>
                <w:highlight w:val="none"/>
                <w:u w:val="single"/>
                <w:lang w:val="en-US" w:eastAsia="zh-CN"/>
              </w:rPr>
              <w:t>10</w:t>
            </w:r>
            <w:r>
              <w:rPr>
                <w:rFonts w:hint="default" w:ascii="Times New Roman" w:hAnsi="Times New Roman" w:cs="Times New Roman"/>
                <w:i w:val="0"/>
                <w:iCs w:val="0"/>
                <w:color w:val="7030A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D51CF8">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7030A0"/>
                <w:sz w:val="24"/>
              </w:rPr>
            </w:pPr>
            <w:r>
              <w:rPr>
                <w:rFonts w:hint="eastAsia" w:ascii="宋体" w:hAnsi="宋体" w:cs="Times New Roman"/>
                <w:i w:val="0"/>
                <w:iCs w:val="0"/>
                <w:color w:val="7030A0"/>
                <w:sz w:val="24"/>
              </w:rPr>
              <w:t>1</w:t>
            </w:r>
            <w:r>
              <w:rPr>
                <w:rFonts w:hint="eastAsia" w:ascii="宋体" w:hAnsi="宋体" w:cs="Times New Roman"/>
                <w:i w:val="0"/>
                <w:iCs w:val="0"/>
                <w:color w:val="7030A0"/>
                <w:sz w:val="24"/>
                <w:lang w:val="en-US" w:eastAsia="zh-CN"/>
              </w:rPr>
              <w:t>.供应商</w:t>
            </w:r>
            <w:r>
              <w:rPr>
                <w:rFonts w:hint="eastAsia" w:ascii="宋体" w:hAnsi="宋体" w:cs="Times New Roman"/>
                <w:i w:val="0"/>
                <w:iCs w:val="0"/>
                <w:color w:val="7030A0"/>
                <w:sz w:val="24"/>
              </w:rPr>
              <w:t>所投产品制造商获得国家认监委认可的机构颁发的节水认证证书的得1分；</w:t>
            </w:r>
          </w:p>
          <w:p w14:paraId="1396F1C3">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7030A0"/>
                <w:sz w:val="24"/>
              </w:rPr>
            </w:pPr>
            <w:r>
              <w:rPr>
                <w:rFonts w:hint="eastAsia" w:ascii="宋体" w:hAnsi="宋体" w:cs="Times New Roman"/>
                <w:i w:val="0"/>
                <w:iCs w:val="0"/>
                <w:color w:val="7030A0"/>
                <w:sz w:val="24"/>
              </w:rPr>
              <w:t>2</w:t>
            </w:r>
            <w:r>
              <w:rPr>
                <w:rFonts w:hint="eastAsia" w:ascii="宋体" w:hAnsi="宋体" w:cs="Times New Roman"/>
                <w:i w:val="0"/>
                <w:iCs w:val="0"/>
                <w:color w:val="7030A0"/>
                <w:sz w:val="24"/>
                <w:lang w:val="en-US" w:eastAsia="zh-CN"/>
              </w:rPr>
              <w:t>.</w:t>
            </w:r>
            <w:r>
              <w:rPr>
                <w:rFonts w:hint="eastAsia" w:ascii="宋体" w:hAnsi="宋体" w:cs="Times New Roman"/>
                <w:i w:val="0"/>
                <w:iCs w:val="0"/>
                <w:color w:val="7030A0"/>
                <w:sz w:val="24"/>
                <w:lang w:eastAsia="zh-CN"/>
              </w:rPr>
              <w:t>供应商</w:t>
            </w:r>
            <w:r>
              <w:rPr>
                <w:rFonts w:hint="eastAsia" w:ascii="宋体" w:hAnsi="宋体" w:cs="Times New Roman"/>
                <w:i w:val="0"/>
                <w:iCs w:val="0"/>
                <w:color w:val="7030A0"/>
                <w:sz w:val="24"/>
              </w:rPr>
              <w:t>所投产品制造商二次供水成套设备获得中国节能产品认证证书的得</w:t>
            </w:r>
            <w:r>
              <w:rPr>
                <w:rFonts w:hint="eastAsia" w:ascii="宋体" w:hAnsi="宋体" w:cs="Times New Roman"/>
                <w:i w:val="0"/>
                <w:iCs w:val="0"/>
                <w:color w:val="7030A0"/>
                <w:sz w:val="24"/>
                <w:lang w:val="en-US" w:eastAsia="zh-CN"/>
              </w:rPr>
              <w:t>1</w:t>
            </w:r>
            <w:r>
              <w:rPr>
                <w:rFonts w:hint="eastAsia" w:ascii="宋体" w:hAnsi="宋体" w:cs="Times New Roman"/>
                <w:i w:val="0"/>
                <w:iCs w:val="0"/>
                <w:color w:val="7030A0"/>
                <w:sz w:val="24"/>
              </w:rPr>
              <w:t>分；</w:t>
            </w:r>
          </w:p>
          <w:p w14:paraId="00E9CF40">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eastAsiaTheme="minorEastAsia"/>
                <w:i w:val="0"/>
                <w:iCs w:val="0"/>
                <w:color w:val="7030A0"/>
                <w:sz w:val="24"/>
                <w:lang w:eastAsia="zh-CN"/>
              </w:rPr>
            </w:pPr>
            <w:r>
              <w:rPr>
                <w:rFonts w:hint="eastAsia" w:ascii="宋体" w:hAnsi="宋体" w:cs="Times New Roman"/>
                <w:i w:val="0"/>
                <w:iCs w:val="0"/>
                <w:color w:val="7030A0"/>
                <w:sz w:val="24"/>
              </w:rPr>
              <w:t>3</w:t>
            </w:r>
            <w:r>
              <w:rPr>
                <w:rFonts w:hint="eastAsia" w:ascii="宋体" w:hAnsi="宋体" w:cs="Times New Roman"/>
                <w:i w:val="0"/>
                <w:iCs w:val="0"/>
                <w:color w:val="7030A0"/>
                <w:sz w:val="24"/>
                <w:lang w:val="en-US" w:eastAsia="zh-CN"/>
              </w:rPr>
              <w:t>.</w:t>
            </w:r>
            <w:r>
              <w:rPr>
                <w:rFonts w:hint="eastAsia" w:ascii="宋体" w:hAnsi="宋体" w:cs="Times New Roman"/>
                <w:i w:val="0"/>
                <w:iCs w:val="0"/>
                <w:color w:val="7030A0"/>
                <w:sz w:val="24"/>
                <w:lang w:eastAsia="zh-CN"/>
              </w:rPr>
              <w:t>供应商</w:t>
            </w:r>
            <w:r>
              <w:rPr>
                <w:rFonts w:hint="eastAsia" w:ascii="宋体" w:hAnsi="宋体" w:cs="Times New Roman"/>
                <w:i w:val="0"/>
                <w:iCs w:val="0"/>
                <w:color w:val="7030A0"/>
                <w:sz w:val="24"/>
              </w:rPr>
              <w:t>所投产品制造商具有质量管理体系认证证书、环境管理体系认证证书、职业健康安全管理体系认证证书的，每项得1分，满分3分</w:t>
            </w:r>
            <w:r>
              <w:rPr>
                <w:rFonts w:hint="eastAsia" w:ascii="宋体" w:hAnsi="宋体" w:cs="Times New Roman"/>
                <w:i w:val="0"/>
                <w:iCs w:val="0"/>
                <w:color w:val="7030A0"/>
                <w:sz w:val="24"/>
                <w:lang w:eastAsia="zh-CN"/>
              </w:rPr>
              <w:t>；</w:t>
            </w:r>
          </w:p>
          <w:p w14:paraId="7A6B982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eastAsiaTheme="minorEastAsia"/>
                <w:i w:val="0"/>
                <w:iCs w:val="0"/>
                <w:color w:val="7030A0"/>
                <w:sz w:val="24"/>
                <w:lang w:eastAsia="zh-CN"/>
              </w:rPr>
            </w:pPr>
            <w:r>
              <w:rPr>
                <w:rFonts w:hint="eastAsia" w:ascii="宋体" w:hAnsi="宋体" w:cs="Times New Roman"/>
                <w:i w:val="0"/>
                <w:iCs w:val="0"/>
                <w:color w:val="7030A0"/>
                <w:sz w:val="24"/>
              </w:rPr>
              <w:t>4</w:t>
            </w:r>
            <w:r>
              <w:rPr>
                <w:rFonts w:hint="eastAsia" w:ascii="宋体" w:hAnsi="宋体" w:cs="Times New Roman"/>
                <w:i w:val="0"/>
                <w:iCs w:val="0"/>
                <w:color w:val="7030A0"/>
                <w:sz w:val="24"/>
                <w:lang w:val="en-US" w:eastAsia="zh-CN"/>
              </w:rPr>
              <w:t>.</w:t>
            </w:r>
            <w:r>
              <w:rPr>
                <w:rFonts w:hint="eastAsia" w:ascii="宋体" w:hAnsi="宋体" w:cs="Times New Roman"/>
                <w:i w:val="0"/>
                <w:iCs w:val="0"/>
                <w:color w:val="7030A0"/>
                <w:sz w:val="24"/>
                <w:lang w:eastAsia="zh-CN"/>
              </w:rPr>
              <w:t>供应商</w:t>
            </w:r>
            <w:r>
              <w:rPr>
                <w:rFonts w:hint="eastAsia" w:ascii="宋体" w:hAnsi="宋体" w:cs="Times New Roman"/>
                <w:i w:val="0"/>
                <w:iCs w:val="0"/>
                <w:color w:val="7030A0"/>
                <w:sz w:val="24"/>
              </w:rPr>
              <w:t>所投产品制造商达到国家标准《商品售后服务评价体系》GB/T27922-2011 服务认证五星级得2分，低于五星级不得分</w:t>
            </w:r>
            <w:r>
              <w:rPr>
                <w:rFonts w:hint="eastAsia" w:ascii="宋体" w:hAnsi="宋体" w:cs="Times New Roman"/>
                <w:i w:val="0"/>
                <w:iCs w:val="0"/>
                <w:color w:val="7030A0"/>
                <w:sz w:val="24"/>
                <w:lang w:eastAsia="zh-CN"/>
              </w:rPr>
              <w:t>；</w:t>
            </w:r>
          </w:p>
          <w:p w14:paraId="46B77CA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7030A0"/>
                <w:sz w:val="24"/>
              </w:rPr>
            </w:pPr>
            <w:r>
              <w:rPr>
                <w:rFonts w:hint="eastAsia" w:ascii="宋体" w:hAnsi="宋体" w:cs="Times New Roman"/>
                <w:i w:val="0"/>
                <w:iCs w:val="0"/>
                <w:color w:val="7030A0"/>
                <w:sz w:val="24"/>
              </w:rPr>
              <w:t>5</w:t>
            </w:r>
            <w:r>
              <w:rPr>
                <w:rFonts w:hint="eastAsia" w:ascii="宋体" w:hAnsi="宋体" w:cs="Times New Roman"/>
                <w:i w:val="0"/>
                <w:iCs w:val="0"/>
                <w:color w:val="7030A0"/>
                <w:sz w:val="24"/>
                <w:lang w:val="en-US" w:eastAsia="zh-CN"/>
              </w:rPr>
              <w:t>.</w:t>
            </w:r>
            <w:r>
              <w:rPr>
                <w:rFonts w:hint="eastAsia" w:ascii="宋体" w:hAnsi="宋体" w:cs="Times New Roman"/>
                <w:i w:val="0"/>
                <w:iCs w:val="0"/>
                <w:color w:val="7030A0"/>
                <w:sz w:val="24"/>
                <w:lang w:eastAsia="zh-CN"/>
              </w:rPr>
              <w:t>供应商</w:t>
            </w:r>
            <w:r>
              <w:rPr>
                <w:rFonts w:hint="eastAsia" w:ascii="宋体" w:hAnsi="宋体" w:cs="Times New Roman"/>
                <w:i w:val="0"/>
                <w:iCs w:val="0"/>
                <w:color w:val="7030A0"/>
                <w:sz w:val="24"/>
              </w:rPr>
              <w:t>所投产品制造商售后服务达到 CTEAS1001-2017《CTEAS 售后服务体系完善程度认证评价规范》售后服务体系获得十二星级(卓越级)认证证书的得3分，获得七星级至十一星级认证证书的得</w:t>
            </w:r>
            <w:r>
              <w:rPr>
                <w:rFonts w:hint="eastAsia" w:ascii="宋体" w:hAnsi="宋体" w:cs="Times New Roman"/>
                <w:i w:val="0"/>
                <w:iCs w:val="0"/>
                <w:color w:val="7030A0"/>
                <w:sz w:val="24"/>
                <w:lang w:val="en-US" w:eastAsia="zh-CN"/>
              </w:rPr>
              <w:t>2</w:t>
            </w:r>
            <w:r>
              <w:rPr>
                <w:rFonts w:hint="eastAsia" w:ascii="宋体" w:hAnsi="宋体" w:cs="Times New Roman"/>
                <w:i w:val="0"/>
                <w:iCs w:val="0"/>
                <w:color w:val="7030A0"/>
                <w:sz w:val="24"/>
              </w:rPr>
              <w:t>分，低于七星级的不得分。</w:t>
            </w:r>
          </w:p>
          <w:p w14:paraId="0DAFB630">
            <w:pPr>
              <w:pStyle w:val="2"/>
              <w:rPr>
                <w:rFonts w:hint="default" w:eastAsiaTheme="minorEastAsia"/>
                <w:lang w:val="en-US" w:eastAsia="zh-CN"/>
              </w:rPr>
            </w:pPr>
            <w:r>
              <w:rPr>
                <w:rFonts w:hint="eastAsia" w:cs="Times New Roman"/>
                <w:i w:val="0"/>
                <w:iCs w:val="0"/>
                <w:color w:val="7030A0"/>
                <w:sz w:val="24"/>
                <w:lang w:val="en-US" w:eastAsia="zh-CN"/>
              </w:rPr>
              <w:t>注：以上证书均需在有效期内。</w:t>
            </w:r>
          </w:p>
        </w:tc>
      </w:tr>
      <w:permEnd w:id="51"/>
      <w:permEnd w:id="52"/>
      <w:permEnd w:id="53"/>
      <w:tr w14:paraId="58D091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15C4194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permStart w:id="54" w:edGrp="everyone" w:colFirst="0" w:colLast="0"/>
            <w:permStart w:id="55" w:edGrp="everyone" w:colFirst="1" w:colLast="1"/>
            <w:permStart w:id="56"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7279A74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7030A0"/>
                <w:kern w:val="0"/>
                <w:sz w:val="24"/>
                <w:szCs w:val="24"/>
                <w:highlight w:val="none"/>
                <w:lang w:val="en-US" w:eastAsia="zh-CN"/>
              </w:rPr>
            </w:pPr>
            <w:r>
              <w:rPr>
                <w:rFonts w:hint="eastAsia" w:ascii="Times New Roman" w:hAnsi="Times New Roman" w:cs="Times New Roman"/>
                <w:i w:val="0"/>
                <w:iCs w:val="0"/>
                <w:color w:val="7030A0"/>
                <w:kern w:val="0"/>
                <w:sz w:val="24"/>
                <w:szCs w:val="24"/>
                <w:highlight w:val="none"/>
                <w:lang w:val="en-US" w:eastAsia="zh-CN"/>
              </w:rPr>
              <w:t>企业类似</w:t>
            </w:r>
          </w:p>
          <w:p w14:paraId="381A8B9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7030A0"/>
                <w:kern w:val="0"/>
                <w:sz w:val="24"/>
                <w:szCs w:val="24"/>
                <w:highlight w:val="none"/>
                <w:lang w:val="en-US" w:eastAsia="zh-CN"/>
              </w:rPr>
            </w:pPr>
            <w:r>
              <w:rPr>
                <w:rFonts w:hint="eastAsia" w:ascii="Times New Roman" w:hAnsi="Times New Roman" w:cs="Times New Roman"/>
                <w:i w:val="0"/>
                <w:iCs w:val="0"/>
                <w:color w:val="7030A0"/>
                <w:kern w:val="0"/>
                <w:sz w:val="24"/>
                <w:szCs w:val="24"/>
                <w:highlight w:val="none"/>
                <w:lang w:val="en-US" w:eastAsia="zh-CN"/>
              </w:rPr>
              <w:t>项目业绩</w:t>
            </w:r>
          </w:p>
          <w:p w14:paraId="5F46E561">
            <w:pPr>
              <w:keepNext w:val="0"/>
              <w:keepLines w:val="0"/>
              <w:widowControl/>
              <w:suppressLineNumbers w:val="0"/>
              <w:jc w:val="left"/>
              <w:rPr>
                <w:rFonts w:hint="default" w:ascii="Times New Roman" w:hAnsi="Times New Roman" w:cs="Times New Roman"/>
                <w:i w:val="0"/>
                <w:iCs w:val="0"/>
                <w:color w:val="7030A0"/>
                <w:kern w:val="0"/>
                <w:sz w:val="21"/>
                <w:szCs w:val="21"/>
                <w:highlight w:val="none"/>
                <w:lang w:val="en-US" w:eastAsia="zh-CN"/>
              </w:rPr>
            </w:pPr>
            <w:r>
              <w:rPr>
                <w:rFonts w:hint="default" w:ascii="Times New Roman" w:hAnsi="Times New Roman" w:cs="Times New Roman"/>
                <w:i w:val="0"/>
                <w:iCs w:val="0"/>
                <w:color w:val="7030A0"/>
                <w:kern w:val="0"/>
                <w:sz w:val="24"/>
                <w:szCs w:val="24"/>
                <w:highlight w:val="none"/>
                <w:u w:val="single"/>
                <w:lang w:val="en-US" w:eastAsia="zh-CN"/>
              </w:rPr>
              <w:t>（</w:t>
            </w:r>
            <w:r>
              <w:rPr>
                <w:rFonts w:hint="eastAsia" w:ascii="Times New Roman" w:hAnsi="Times New Roman" w:cs="Times New Roman"/>
                <w:i w:val="0"/>
                <w:iCs w:val="0"/>
                <w:color w:val="7030A0"/>
                <w:kern w:val="0"/>
                <w:sz w:val="24"/>
                <w:szCs w:val="24"/>
                <w:highlight w:val="none"/>
                <w:u w:val="single"/>
                <w:lang w:val="en-US" w:eastAsia="zh-CN"/>
              </w:rPr>
              <w:t>10</w:t>
            </w:r>
            <w:r>
              <w:rPr>
                <w:rFonts w:hint="default" w:ascii="Times New Roman" w:hAnsi="Times New Roman" w:cs="Times New Roman"/>
                <w:i w:val="0"/>
                <w:iCs w:val="0"/>
                <w:color w:val="7030A0"/>
                <w:kern w:val="0"/>
                <w:sz w:val="24"/>
                <w:szCs w:val="24"/>
                <w:highlight w:val="none"/>
                <w:u w:val="single"/>
                <w:lang w:val="en-US" w:eastAsia="zh-CN"/>
              </w:rPr>
              <w:t>分）</w:t>
            </w:r>
            <w:r>
              <w:rPr>
                <w:rFonts w:hint="eastAsia" w:ascii="宋体" w:hAnsi="宋体" w:eastAsia="宋体" w:cs="宋体"/>
                <w:i w:val="0"/>
                <w:iCs w:val="0"/>
                <w:color w:val="7030A0"/>
                <w:kern w:val="0"/>
                <w:sz w:val="21"/>
                <w:szCs w:val="21"/>
                <w:lang w:val="en-US" w:eastAsia="zh-CN" w:bidi="ar"/>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2B750B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7030A0"/>
                <w:sz w:val="24"/>
              </w:rPr>
            </w:pPr>
            <w:r>
              <w:rPr>
                <w:rFonts w:hint="eastAsia" w:ascii="宋体" w:hAnsi="宋体" w:cs="Times New Roman"/>
                <w:i w:val="0"/>
                <w:iCs w:val="0"/>
                <w:color w:val="7030A0"/>
                <w:sz w:val="24"/>
                <w:lang w:val="en-US" w:eastAsia="zh-CN"/>
              </w:rPr>
              <w:t>除询比公告要求的资格业绩以外，供应商每额外提供一项</w:t>
            </w:r>
            <w:r>
              <w:rPr>
                <w:rFonts w:hint="eastAsia" w:ascii="宋体" w:hAnsi="宋体" w:cs="Times New Roman"/>
                <w:i w:val="0"/>
                <w:iCs w:val="0"/>
                <w:color w:val="7030A0"/>
                <w:sz w:val="24"/>
              </w:rPr>
              <w:t>20</w:t>
            </w:r>
            <w:r>
              <w:rPr>
                <w:rFonts w:hint="eastAsia" w:ascii="宋体" w:hAnsi="宋体" w:cs="Times New Roman"/>
                <w:i w:val="0"/>
                <w:iCs w:val="0"/>
                <w:color w:val="7030A0"/>
                <w:sz w:val="24"/>
                <w:lang w:val="en-US" w:eastAsia="zh-CN"/>
              </w:rPr>
              <w:t>24</w:t>
            </w:r>
            <w:r>
              <w:rPr>
                <w:rFonts w:hint="eastAsia" w:ascii="宋体" w:hAnsi="宋体" w:cs="Times New Roman"/>
                <w:i w:val="0"/>
                <w:iCs w:val="0"/>
                <w:color w:val="7030A0"/>
                <w:sz w:val="24"/>
              </w:rPr>
              <w:t>年1月1日以来</w:t>
            </w:r>
            <w:r>
              <w:rPr>
                <w:rFonts w:hint="eastAsia" w:ascii="宋体" w:hAnsi="宋体" w:cs="Times New Roman"/>
                <w:i w:val="0"/>
                <w:iCs w:val="0"/>
                <w:color w:val="7030A0"/>
                <w:sz w:val="24"/>
                <w:lang w:val="en-US" w:eastAsia="zh-CN"/>
              </w:rPr>
              <w:t>的企业</w:t>
            </w:r>
            <w:r>
              <w:rPr>
                <w:rFonts w:hint="eastAsia" w:ascii="宋体" w:hAnsi="宋体" w:cs="Times New Roman"/>
                <w:i w:val="0"/>
                <w:iCs w:val="0"/>
                <w:color w:val="7030A0"/>
                <w:sz w:val="24"/>
              </w:rPr>
              <w:t>类似项目业绩得</w:t>
            </w:r>
            <w:r>
              <w:rPr>
                <w:rFonts w:hint="eastAsia" w:ascii="宋体" w:hAnsi="宋体" w:cs="Times New Roman"/>
                <w:i w:val="0"/>
                <w:iCs w:val="0"/>
                <w:color w:val="7030A0"/>
                <w:sz w:val="24"/>
                <w:lang w:val="en-US" w:eastAsia="zh-CN"/>
              </w:rPr>
              <w:t>5</w:t>
            </w:r>
            <w:r>
              <w:rPr>
                <w:rFonts w:hint="eastAsia" w:ascii="宋体" w:hAnsi="宋体" w:cs="Times New Roman"/>
                <w:i w:val="0"/>
                <w:iCs w:val="0"/>
                <w:color w:val="7030A0"/>
                <w:sz w:val="24"/>
              </w:rPr>
              <w:t>分，满分</w:t>
            </w:r>
            <w:r>
              <w:rPr>
                <w:rFonts w:hint="eastAsia" w:ascii="宋体" w:hAnsi="宋体" w:cs="Times New Roman"/>
                <w:i w:val="0"/>
                <w:iCs w:val="0"/>
                <w:color w:val="7030A0"/>
                <w:sz w:val="24"/>
                <w:lang w:val="en-US" w:eastAsia="zh-CN"/>
              </w:rPr>
              <w:t>10</w:t>
            </w:r>
            <w:r>
              <w:rPr>
                <w:rFonts w:hint="eastAsia" w:ascii="宋体" w:hAnsi="宋体" w:cs="Times New Roman"/>
                <w:i w:val="0"/>
                <w:iCs w:val="0"/>
                <w:color w:val="7030A0"/>
                <w:sz w:val="24"/>
              </w:rPr>
              <w:t>分。</w:t>
            </w:r>
          </w:p>
          <w:p w14:paraId="0967D0F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宋体" w:hAnsi="宋体" w:cs="Times New Roman"/>
                <w:i w:val="0"/>
                <w:iCs w:val="0"/>
                <w:color w:val="7030A0"/>
                <w:sz w:val="24"/>
                <w:lang w:val="en-US" w:eastAsia="zh-CN"/>
              </w:rPr>
            </w:pPr>
            <w:r>
              <w:rPr>
                <w:rFonts w:hint="eastAsia" w:ascii="宋体" w:hAnsi="宋体" w:cs="Times New Roman"/>
                <w:i w:val="0"/>
                <w:iCs w:val="0"/>
                <w:color w:val="7030A0"/>
                <w:sz w:val="24"/>
                <w:lang w:val="en-US" w:eastAsia="zh-CN"/>
              </w:rPr>
              <w:t>注：</w:t>
            </w:r>
          </w:p>
          <w:p w14:paraId="7598C38B">
            <w:pPr>
              <w:keepNext w:val="0"/>
              <w:keepLines w:val="0"/>
              <w:pageBreakBefore w:val="0"/>
              <w:widowControl w:val="0"/>
              <w:kinsoku/>
              <w:wordWrap w:val="0"/>
              <w:overflowPunct/>
              <w:topLinePunct w:val="0"/>
              <w:autoSpaceDE/>
              <w:autoSpaceDN/>
              <w:bidi w:val="0"/>
              <w:adjustRightInd/>
              <w:snapToGrid/>
              <w:spacing w:line="400" w:lineRule="exact"/>
              <w:ind w:firstLine="240" w:firstLineChars="100"/>
              <w:textAlignment w:val="auto"/>
              <w:rPr>
                <w:rFonts w:hint="eastAsia" w:ascii="宋体" w:hAnsi="宋体" w:cs="Times New Roman"/>
                <w:i w:val="0"/>
                <w:iCs w:val="0"/>
                <w:color w:val="7030A0"/>
                <w:sz w:val="24"/>
                <w:lang w:eastAsia="zh-CN"/>
              </w:rPr>
            </w:pPr>
            <w:r>
              <w:rPr>
                <w:rFonts w:hint="eastAsia" w:ascii="宋体" w:hAnsi="宋体" w:cs="Times New Roman"/>
                <w:i w:val="0"/>
                <w:iCs w:val="0"/>
                <w:color w:val="7030A0"/>
                <w:sz w:val="24"/>
                <w:lang w:val="en-US" w:eastAsia="zh-CN"/>
              </w:rPr>
              <w:t>1.企业类似项目业绩要求与询比公告供应商资格业绩要求一致；</w:t>
            </w:r>
          </w:p>
          <w:p w14:paraId="45FB1667">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宋体" w:hAnsi="宋体" w:cs="Times New Roman"/>
                <w:i w:val="0"/>
                <w:iCs w:val="0"/>
                <w:color w:val="7030A0"/>
                <w:sz w:val="24"/>
                <w:lang w:val="en-US" w:eastAsia="zh-CN"/>
              </w:rPr>
            </w:pPr>
            <w:r>
              <w:rPr>
                <w:rFonts w:hint="eastAsia" w:ascii="宋体" w:hAnsi="宋体" w:cs="Times New Roman"/>
                <w:i w:val="0"/>
                <w:iCs w:val="0"/>
                <w:color w:val="7030A0"/>
                <w:sz w:val="24"/>
              </w:rPr>
              <w:t>2</w:t>
            </w:r>
            <w:r>
              <w:rPr>
                <w:rFonts w:hint="eastAsia" w:ascii="宋体" w:hAnsi="宋体" w:cs="Times New Roman"/>
                <w:i w:val="0"/>
                <w:iCs w:val="0"/>
                <w:color w:val="7030A0"/>
                <w:sz w:val="24"/>
                <w:lang w:val="en-US" w:eastAsia="zh-CN"/>
              </w:rPr>
              <w:t>.</w:t>
            </w:r>
            <w:r>
              <w:rPr>
                <w:rFonts w:hint="default" w:ascii="宋体" w:hAnsi="宋体" w:cs="Times New Roman"/>
                <w:i w:val="0"/>
                <w:iCs w:val="0"/>
                <w:color w:val="7030A0"/>
                <w:sz w:val="24"/>
                <w:lang w:val="en-US" w:eastAsia="zh-CN"/>
              </w:rPr>
              <w:t>提供业绩合同</w:t>
            </w:r>
            <w:r>
              <w:rPr>
                <w:rFonts w:hint="eastAsia" w:ascii="宋体" w:hAnsi="宋体" w:cs="Times New Roman"/>
                <w:i w:val="0"/>
                <w:iCs w:val="0"/>
                <w:color w:val="7030A0"/>
                <w:sz w:val="24"/>
                <w:lang w:val="en-US" w:eastAsia="zh-CN"/>
              </w:rPr>
              <w:t>等相关资料</w:t>
            </w:r>
            <w:r>
              <w:rPr>
                <w:rFonts w:hint="default" w:ascii="宋体" w:hAnsi="宋体" w:cs="Times New Roman"/>
                <w:i w:val="0"/>
                <w:iCs w:val="0"/>
                <w:color w:val="7030A0"/>
                <w:sz w:val="24"/>
                <w:lang w:val="en-US" w:eastAsia="zh-CN"/>
              </w:rPr>
              <w:t>复印件或扫描件装订入</w:t>
            </w:r>
            <w:r>
              <w:rPr>
                <w:rFonts w:hint="eastAsia" w:ascii="宋体" w:hAnsi="宋体" w:cs="Times New Roman"/>
                <w:i w:val="0"/>
                <w:iCs w:val="0"/>
                <w:color w:val="7030A0"/>
                <w:sz w:val="24"/>
                <w:lang w:val="en-US" w:eastAsia="zh-CN"/>
              </w:rPr>
              <w:t>响应</w:t>
            </w:r>
            <w:r>
              <w:rPr>
                <w:rFonts w:hint="default" w:ascii="宋体" w:hAnsi="宋体" w:cs="Times New Roman"/>
                <w:i w:val="0"/>
                <w:iCs w:val="0"/>
                <w:color w:val="7030A0"/>
                <w:sz w:val="24"/>
                <w:lang w:val="en-US" w:eastAsia="zh-CN"/>
              </w:rPr>
              <w:t>文件中</w:t>
            </w:r>
            <w:r>
              <w:rPr>
                <w:rFonts w:hint="eastAsia" w:ascii="宋体" w:hAnsi="宋体" w:cs="Times New Roman"/>
                <w:i w:val="0"/>
                <w:iCs w:val="0"/>
                <w:color w:val="7030A0"/>
                <w:sz w:val="24"/>
              </w:rPr>
              <w:t>。</w:t>
            </w:r>
          </w:p>
        </w:tc>
      </w:tr>
      <w:permEnd w:id="54"/>
      <w:permEnd w:id="55"/>
      <w:permEnd w:id="56"/>
      <w:tr w14:paraId="3EABEB8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trPr>
        <w:tc>
          <w:tcPr>
            <w:tcW w:w="1700" w:type="dxa"/>
            <w:vMerge w:val="restart"/>
            <w:tcBorders>
              <w:top w:val="single" w:color="auto" w:sz="4" w:space="0"/>
              <w:right w:val="single" w:color="auto" w:sz="4" w:space="0"/>
            </w:tcBorders>
            <w:noWrap w:val="0"/>
            <w:vAlign w:val="center"/>
          </w:tcPr>
          <w:p w14:paraId="013B124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permStart w:id="57" w:edGrp="everyone" w:colFirst="1" w:colLast="1"/>
            <w:permStart w:id="58" w:edGrp="everyone" w:colFirst="2" w:colLast="2"/>
            <w:r>
              <w:rPr>
                <w:rFonts w:hint="eastAsia" w:ascii="Times New Roman" w:hAnsi="Times New Roman" w:cs="Times New Roman"/>
                <w:i w:val="0"/>
                <w:iCs w:val="0"/>
                <w:color w:val="auto"/>
                <w:kern w:val="0"/>
                <w:sz w:val="24"/>
                <w:szCs w:val="24"/>
                <w:highlight w:val="none"/>
                <w:lang w:val="en-US" w:eastAsia="zh-CN"/>
              </w:rPr>
              <w:t>服务方案评分标准</w:t>
            </w:r>
          </w:p>
          <w:p w14:paraId="404516B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i w:val="0"/>
                <w:iCs w:val="0"/>
                <w:kern w:val="0"/>
                <w:sz w:val="21"/>
                <w:szCs w:val="21"/>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40</w:t>
            </w:r>
            <w:r>
              <w:rPr>
                <w:rFonts w:hint="default" w:ascii="Times New Roman" w:hAnsi="Times New Roman" w:cs="Times New Roman"/>
                <w:i w:val="0"/>
                <w:iCs w:val="0"/>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21DA2F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7030A0"/>
                <w:kern w:val="0"/>
                <w:sz w:val="24"/>
                <w:szCs w:val="24"/>
                <w:highlight w:val="none"/>
                <w:lang w:val="en-US" w:eastAsia="zh-CN"/>
              </w:rPr>
            </w:pPr>
            <w:r>
              <w:rPr>
                <w:rFonts w:hint="eastAsia" w:ascii="Times New Roman" w:hAnsi="Times New Roman" w:cs="Times New Roman"/>
                <w:i w:val="0"/>
                <w:iCs w:val="0"/>
                <w:color w:val="7030A0"/>
                <w:kern w:val="0"/>
                <w:sz w:val="24"/>
                <w:szCs w:val="24"/>
                <w:highlight w:val="none"/>
                <w:lang w:val="en-US" w:eastAsia="zh-CN"/>
              </w:rPr>
              <w:t xml:space="preserve"> 项目设计方案（10分） </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2046C7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宋体" w:hAnsi="宋体" w:cs="Times New Roman"/>
                <w:i w:val="0"/>
                <w:iCs w:val="0"/>
                <w:color w:val="7030A0"/>
                <w:sz w:val="24"/>
                <w:lang w:val="en-US" w:eastAsia="zh-CN"/>
              </w:rPr>
            </w:pPr>
            <w:r>
              <w:rPr>
                <w:rFonts w:hint="eastAsia" w:ascii="宋体" w:hAnsi="宋体" w:cs="Times New Roman"/>
                <w:i w:val="0"/>
                <w:iCs w:val="0"/>
                <w:color w:val="7030A0"/>
                <w:sz w:val="24"/>
                <w:lang w:val="en-US" w:eastAsia="zh-CN"/>
              </w:rPr>
              <w:t>项目设计方案，综合评定：</w:t>
            </w:r>
          </w:p>
          <w:p w14:paraId="3DC7AAC3">
            <w:pPr>
              <w:keepNext w:val="0"/>
              <w:keepLines w:val="0"/>
              <w:pageBreakBefore w:val="0"/>
              <w:widowControl w:val="0"/>
              <w:kinsoku/>
              <w:wordWrap w:val="0"/>
              <w:overflowPunct/>
              <w:topLinePunct w:val="0"/>
              <w:autoSpaceDE/>
              <w:autoSpaceDN/>
              <w:bidi w:val="0"/>
              <w:adjustRightInd/>
              <w:snapToGrid/>
              <w:spacing w:line="400" w:lineRule="exact"/>
              <w:ind w:firstLine="240" w:firstLineChars="100"/>
              <w:textAlignment w:val="auto"/>
              <w:rPr>
                <w:rFonts w:hint="default" w:ascii="宋体" w:hAnsi="宋体" w:cs="Times New Roman"/>
                <w:i w:val="0"/>
                <w:iCs w:val="0"/>
                <w:color w:val="7030A0"/>
                <w:sz w:val="24"/>
                <w:lang w:val="en-US" w:eastAsia="zh-CN"/>
              </w:rPr>
            </w:pPr>
            <w:r>
              <w:rPr>
                <w:rFonts w:hint="eastAsia" w:ascii="宋体" w:hAnsi="宋体" w:cs="Times New Roman"/>
                <w:i w:val="0"/>
                <w:iCs w:val="0"/>
                <w:color w:val="7030A0"/>
                <w:sz w:val="24"/>
                <w:lang w:val="en-US" w:eastAsia="zh-CN"/>
              </w:rPr>
              <w:t>根据供应商提供的设备选型方案、图纸设计完整性及合理性进行打分，优秀7-10，良好4-7，合格2-4，差得1-2分，没有不得分。</w:t>
            </w:r>
          </w:p>
        </w:tc>
      </w:tr>
      <w:permEnd w:id="57"/>
      <w:permEnd w:id="58"/>
      <w:tr w14:paraId="27C117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12" w:hRule="atLeast"/>
        </w:trPr>
        <w:tc>
          <w:tcPr>
            <w:tcW w:w="1700" w:type="dxa"/>
            <w:vMerge w:val="continue"/>
            <w:tcBorders>
              <w:right w:val="single" w:color="auto" w:sz="4" w:space="0"/>
            </w:tcBorders>
            <w:noWrap w:val="0"/>
            <w:vAlign w:val="center"/>
          </w:tcPr>
          <w:p w14:paraId="1AB347F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permStart w:id="59" w:edGrp="everyone" w:colFirst="1" w:colLast="1"/>
            <w:permStart w:id="60"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7D33F398">
            <w:pPr>
              <w:pStyle w:val="31"/>
              <w:spacing w:before="130" w:line="403" w:lineRule="auto"/>
              <w:ind w:right="138" w:rightChars="0"/>
              <w:jc w:val="left"/>
              <w:rPr>
                <w:rFonts w:hint="default" w:ascii="Times New Roman" w:hAnsi="Times New Roman" w:cs="Times New Roman"/>
                <w:i w:val="0"/>
                <w:iCs w:val="0"/>
                <w:color w:val="FF0000"/>
                <w:kern w:val="0"/>
                <w:sz w:val="21"/>
                <w:szCs w:val="21"/>
                <w:highlight w:val="none"/>
                <w:u w:val="single"/>
                <w:lang w:val="en-US" w:eastAsia="zh-CN"/>
              </w:rPr>
            </w:pPr>
            <w:r>
              <w:rPr>
                <w:rFonts w:hint="default" w:ascii="Times New Roman" w:hAnsi="Times New Roman" w:cs="Times New Roman"/>
                <w:i w:val="0"/>
                <w:iCs w:val="0"/>
                <w:color w:val="FF0000"/>
                <w:kern w:val="0"/>
                <w:sz w:val="21"/>
                <w:szCs w:val="21"/>
                <w:highlight w:val="none"/>
                <w:u w:val="single"/>
                <w:lang w:val="en-US" w:eastAsia="zh-CN"/>
              </w:rPr>
              <w:t>施工保障及技术方案（</w:t>
            </w:r>
            <w:r>
              <w:rPr>
                <w:rFonts w:hint="eastAsia" w:ascii="Times New Roman" w:hAnsi="Times New Roman" w:cs="Times New Roman"/>
                <w:i w:val="0"/>
                <w:iCs w:val="0"/>
                <w:color w:val="FF0000"/>
                <w:kern w:val="0"/>
                <w:sz w:val="21"/>
                <w:szCs w:val="21"/>
                <w:highlight w:val="none"/>
                <w:u w:val="single"/>
                <w:lang w:val="en-US" w:eastAsia="zh-CN"/>
              </w:rPr>
              <w:t>5</w:t>
            </w:r>
            <w:r>
              <w:rPr>
                <w:rFonts w:hint="default" w:ascii="Times New Roman" w:hAnsi="Times New Roman" w:cs="Times New Roman"/>
                <w:i w:val="0"/>
                <w:iCs w:val="0"/>
                <w:color w:val="FF0000"/>
                <w:kern w:val="0"/>
                <w:sz w:val="21"/>
                <w:szCs w:val="21"/>
                <w:highlight w:val="none"/>
                <w:u w:val="single"/>
                <w:lang w:val="en-US" w:eastAsia="zh-CN"/>
              </w:rPr>
              <w:t>分</w:t>
            </w:r>
            <w:r>
              <w:rPr>
                <w:rFonts w:hint="eastAsia" w:ascii="Times New Roman" w:hAnsi="Times New Roman" w:cs="Times New Roman"/>
                <w:i w:val="0"/>
                <w:iCs w:val="0"/>
                <w:color w:val="FF0000"/>
                <w:kern w:val="0"/>
                <w:sz w:val="21"/>
                <w:szCs w:val="21"/>
                <w:highlight w:val="none"/>
                <w:u w:val="singl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A856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施工保障及技术方案，综合评定：</w:t>
            </w:r>
          </w:p>
          <w:p w14:paraId="3EAFA308">
            <w:pPr>
              <w:keepNext w:val="0"/>
              <w:keepLines w:val="0"/>
              <w:pageBreakBefore w:val="0"/>
              <w:widowControl w:val="0"/>
              <w:kinsoku/>
              <w:wordWrap w:val="0"/>
              <w:overflowPunct/>
              <w:topLinePunct w:val="0"/>
              <w:autoSpaceDE/>
              <w:autoSpaceDN/>
              <w:bidi w:val="0"/>
              <w:adjustRightInd/>
              <w:snapToGrid/>
              <w:spacing w:line="440" w:lineRule="exact"/>
              <w:ind w:firstLine="240" w:firstLineChars="1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1.组织机构配置1分；</w:t>
            </w:r>
          </w:p>
          <w:p w14:paraId="7445B6B3">
            <w:pPr>
              <w:keepNext w:val="0"/>
              <w:keepLines w:val="0"/>
              <w:pageBreakBefore w:val="0"/>
              <w:widowControl w:val="0"/>
              <w:kinsoku/>
              <w:wordWrap w:val="0"/>
              <w:overflowPunct/>
              <w:topLinePunct w:val="0"/>
              <w:autoSpaceDE/>
              <w:autoSpaceDN/>
              <w:bidi w:val="0"/>
              <w:adjustRightInd/>
              <w:snapToGrid/>
              <w:spacing w:line="440" w:lineRule="exact"/>
              <w:ind w:firstLine="240" w:firstLineChars="1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2.设备进场及工期保障计划与措施1分；</w:t>
            </w:r>
          </w:p>
          <w:p w14:paraId="598C8C23">
            <w:pPr>
              <w:keepNext w:val="0"/>
              <w:keepLines w:val="0"/>
              <w:pageBreakBefore w:val="0"/>
              <w:widowControl w:val="0"/>
              <w:kinsoku/>
              <w:wordWrap w:val="0"/>
              <w:overflowPunct/>
              <w:topLinePunct w:val="0"/>
              <w:autoSpaceDE/>
              <w:autoSpaceDN/>
              <w:bidi w:val="0"/>
              <w:adjustRightInd/>
              <w:snapToGrid/>
              <w:spacing w:line="440" w:lineRule="exact"/>
              <w:ind w:firstLine="240" w:firstLineChars="1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3.安全文明施工管理措施1分；</w:t>
            </w:r>
          </w:p>
          <w:p w14:paraId="757DAF55">
            <w:pPr>
              <w:keepNext w:val="0"/>
              <w:keepLines w:val="0"/>
              <w:pageBreakBefore w:val="0"/>
              <w:widowControl w:val="0"/>
              <w:kinsoku/>
              <w:wordWrap w:val="0"/>
              <w:overflowPunct/>
              <w:topLinePunct w:val="0"/>
              <w:autoSpaceDE/>
              <w:autoSpaceDN/>
              <w:bidi w:val="0"/>
              <w:adjustRightInd/>
              <w:snapToGrid/>
              <w:spacing w:line="440" w:lineRule="exact"/>
              <w:ind w:firstLine="240" w:firstLineChars="1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4.质量管理体系与质量保障措施1分；</w:t>
            </w:r>
          </w:p>
          <w:p w14:paraId="33446970">
            <w:pPr>
              <w:keepNext w:val="0"/>
              <w:keepLines w:val="0"/>
              <w:pageBreakBefore w:val="0"/>
              <w:widowControl w:val="0"/>
              <w:kinsoku/>
              <w:wordWrap w:val="0"/>
              <w:overflowPunct/>
              <w:topLinePunct w:val="0"/>
              <w:autoSpaceDE/>
              <w:autoSpaceDN/>
              <w:bidi w:val="0"/>
              <w:adjustRightInd/>
              <w:snapToGrid/>
              <w:spacing w:line="440" w:lineRule="exact"/>
              <w:ind w:firstLine="240" w:firstLineChars="100"/>
              <w:textAlignment w:val="auto"/>
              <w:rPr>
                <w:rFonts w:hint="default" w:ascii="Times New Roman" w:hAnsi="Times New Roman" w:cs="Times New Roman"/>
                <w:i w:val="0"/>
                <w:iCs w:val="0"/>
                <w:color w:val="FF0000"/>
                <w:kern w:val="0"/>
                <w:sz w:val="21"/>
                <w:szCs w:val="21"/>
                <w:highlight w:val="none"/>
                <w:u w:val="single"/>
                <w:lang w:val="en-US" w:eastAsia="zh-CN"/>
              </w:rPr>
            </w:pPr>
            <w:r>
              <w:rPr>
                <w:rFonts w:hint="eastAsia" w:ascii="宋体" w:hAnsi="宋体" w:cs="Times New Roman"/>
                <w:i w:val="0"/>
                <w:iCs w:val="0"/>
                <w:color w:val="auto"/>
                <w:sz w:val="24"/>
                <w:lang w:val="en-US" w:eastAsia="zh-CN"/>
              </w:rPr>
              <w:t>5.设备调试及试运行计划及实施方案1分。</w:t>
            </w:r>
          </w:p>
        </w:tc>
      </w:tr>
      <w:permEnd w:id="59"/>
      <w:permEnd w:id="60"/>
      <w:tr w14:paraId="339079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16E56FD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permStart w:id="61" w:edGrp="everyone"/>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0BB1C2">
            <w:pPr>
              <w:pStyle w:val="31"/>
              <w:spacing w:before="127" w:line="404" w:lineRule="auto"/>
              <w:ind w:right="159" w:rightChars="0"/>
              <w:jc w:val="left"/>
              <w:rPr>
                <w:rFonts w:hint="eastAsia" w:ascii="Times New Roman" w:hAnsi="Times New Roman" w:cs="Times New Roman" w:eastAsiaTheme="minorEastAsia"/>
                <w:i w:val="0"/>
                <w:iCs w:val="0"/>
                <w:color w:val="auto"/>
                <w:kern w:val="0"/>
                <w:sz w:val="24"/>
                <w:szCs w:val="24"/>
                <w:highlight w:val="none"/>
                <w:u w:val="single"/>
                <w:lang w:val="en-US" w:eastAsia="zh-CN" w:bidi="ar-SA"/>
              </w:rPr>
            </w:pPr>
            <w:r>
              <w:rPr>
                <w:rFonts w:hint="eastAsia" w:ascii="Times New Roman" w:hAnsi="Times New Roman" w:cs="Times New Roman"/>
                <w:i w:val="0"/>
                <w:iCs w:val="0"/>
                <w:color w:val="auto"/>
                <w:kern w:val="0"/>
                <w:sz w:val="24"/>
                <w:szCs w:val="24"/>
                <w:highlight w:val="none"/>
                <w:lang w:val="en-US" w:eastAsia="zh-CN"/>
              </w:rPr>
              <w:t>水泵性能</w:t>
            </w: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5</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8761F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水泵性能，综合评定：</w:t>
            </w:r>
          </w:p>
          <w:p w14:paraId="4845D5A9">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根据响应文件配置条款选择所投立式多级离心泵效率低于65%不得分；</w:t>
            </w:r>
          </w:p>
          <w:p w14:paraId="0F211461">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2.在65%-70%得1分；</w:t>
            </w:r>
          </w:p>
          <w:p w14:paraId="34169AE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3.水泵效率在70%-75%得2分；</w:t>
            </w:r>
          </w:p>
          <w:p w14:paraId="2B60D82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4.水泵效率在75%及以上得5分；</w:t>
            </w:r>
          </w:p>
          <w:p w14:paraId="44DE3F3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宋体" w:hAnsi="宋体" w:cs="Times New Roman" w:eastAsiaTheme="minorEastAsia"/>
                <w:i w:val="0"/>
                <w:iCs w:val="0"/>
                <w:color w:val="auto"/>
                <w:kern w:val="2"/>
                <w:sz w:val="24"/>
                <w:szCs w:val="24"/>
                <w:lang w:val="en-US" w:eastAsia="zh-CN" w:bidi="ar-SA"/>
              </w:rPr>
            </w:pPr>
            <w:r>
              <w:rPr>
                <w:rFonts w:hint="eastAsia" w:ascii="宋体" w:hAnsi="宋体" w:cs="Times New Roman"/>
                <w:i w:val="0"/>
                <w:iCs w:val="0"/>
                <w:color w:val="auto"/>
                <w:sz w:val="24"/>
                <w:lang w:val="en-US" w:eastAsia="zh-CN"/>
              </w:rPr>
              <w:t>注：以上均需要提供有资质的第三方质量监督检验机构出具的检验报告，否则不得分。</w:t>
            </w:r>
          </w:p>
        </w:tc>
      </w:tr>
      <w:tr w14:paraId="695A6E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67" w:hRule="atLeast"/>
        </w:trPr>
        <w:tc>
          <w:tcPr>
            <w:tcW w:w="1700" w:type="dxa"/>
            <w:vMerge w:val="continue"/>
            <w:tcBorders>
              <w:right w:val="single" w:color="auto" w:sz="4" w:space="0"/>
            </w:tcBorders>
            <w:noWrap w:val="0"/>
            <w:vAlign w:val="center"/>
          </w:tcPr>
          <w:p w14:paraId="1868641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FD1E4D8">
            <w:pPr>
              <w:pStyle w:val="31"/>
              <w:spacing w:before="130" w:line="403" w:lineRule="auto"/>
              <w:ind w:right="138" w:rightChars="0"/>
              <w:jc w:val="left"/>
              <w:rPr>
                <w:rFonts w:hint="default" w:ascii="Times New Roman" w:hAnsi="Times New Roman" w:cs="Times New Roman"/>
                <w:i w:val="0"/>
                <w:iCs w:val="0"/>
                <w:color w:val="auto"/>
                <w:kern w:val="0"/>
                <w:sz w:val="24"/>
                <w:szCs w:val="24"/>
                <w:highlight w:val="none"/>
                <w:u w:val="single"/>
                <w:lang w:val="en-US" w:eastAsia="zh-CN"/>
              </w:rPr>
            </w:pPr>
            <w:r>
              <w:rPr>
                <w:rFonts w:hint="eastAsia" w:ascii="宋体" w:hAnsi="宋体" w:cs="Times New Roman"/>
                <w:i w:val="0"/>
                <w:iCs w:val="0"/>
                <w:color w:val="auto"/>
                <w:sz w:val="24"/>
              </w:rPr>
              <w:t>水泵噪音与振动</w:t>
            </w: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6</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0884FD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水泵噪音与振动，综合评定：</w:t>
            </w:r>
          </w:p>
          <w:p w14:paraId="503A076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1.设备配套水泵噪音满足国家标准规定的A级要求得3分，满足B级要求得1分，低于B级不得分；</w:t>
            </w:r>
          </w:p>
          <w:p w14:paraId="6E5C9C3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pPr>
            <w:r>
              <w:rPr>
                <w:rFonts w:hint="eastAsia" w:ascii="宋体" w:hAnsi="宋体" w:cs="Times New Roman"/>
                <w:i w:val="0"/>
                <w:iCs w:val="0"/>
                <w:color w:val="auto"/>
                <w:sz w:val="24"/>
                <w:lang w:val="en-US" w:eastAsia="zh-CN"/>
              </w:rPr>
              <w:t>2、设备配套水泵振动满足国家标准规定的A级要求得3分，满足B级要求得1分，低于B级不得分。</w:t>
            </w:r>
          </w:p>
          <w:p w14:paraId="1F12096C">
            <w:pPr>
              <w:keepNext w:val="0"/>
              <w:keepLines w:val="0"/>
              <w:pageBreakBefore w:val="0"/>
              <w:widowControl w:val="0"/>
              <w:kinsoku/>
              <w:wordWrap w:val="0"/>
              <w:overflowPunct/>
              <w:topLinePunct w:val="0"/>
              <w:autoSpaceDE/>
              <w:autoSpaceDN/>
              <w:bidi w:val="0"/>
              <w:adjustRightInd/>
              <w:snapToGrid/>
              <w:spacing w:line="440" w:lineRule="exact"/>
              <w:ind w:firstLine="0" w:firstLineChars="0"/>
              <w:textAlignment w:val="auto"/>
              <w:rPr>
                <w:rFonts w:hint="default" w:ascii="宋体" w:hAnsi="宋体" w:cs="Times New Roman"/>
                <w:i w:val="0"/>
                <w:iCs w:val="0"/>
                <w:color w:val="auto"/>
                <w:sz w:val="24"/>
                <w:lang w:val="en-US" w:eastAsia="zh-CN"/>
              </w:rPr>
            </w:pPr>
            <w:r>
              <w:rPr>
                <w:rFonts w:hint="eastAsia"/>
                <w:lang w:val="en-US" w:eastAsia="zh-CN"/>
              </w:rPr>
              <w:t>注：需</w:t>
            </w:r>
            <w:r>
              <w:rPr>
                <w:rFonts w:hint="default"/>
                <w:lang w:val="en-US" w:eastAsia="zh-CN"/>
              </w:rPr>
              <w:t>提供</w:t>
            </w:r>
            <w:r>
              <w:rPr>
                <w:rFonts w:hint="eastAsia"/>
                <w:lang w:val="en-US" w:eastAsia="zh-CN"/>
              </w:rPr>
              <w:t>相关</w:t>
            </w:r>
            <w:r>
              <w:rPr>
                <w:rFonts w:hint="default"/>
                <w:lang w:val="en-US" w:eastAsia="zh-CN"/>
              </w:rPr>
              <w:t>部门</w:t>
            </w:r>
            <w:r>
              <w:rPr>
                <w:rFonts w:hint="eastAsia"/>
                <w:lang w:val="en-US" w:eastAsia="zh-CN"/>
              </w:rPr>
              <w:t>出具</w:t>
            </w:r>
            <w:r>
              <w:rPr>
                <w:rFonts w:hint="default"/>
                <w:lang w:val="en-US" w:eastAsia="zh-CN"/>
              </w:rPr>
              <w:t>的水泵质量检测报</w:t>
            </w:r>
            <w:r>
              <w:rPr>
                <w:rFonts w:hint="eastAsia"/>
                <w:lang w:val="en-US" w:eastAsia="zh-CN"/>
              </w:rPr>
              <w:t>告。</w:t>
            </w:r>
          </w:p>
        </w:tc>
      </w:tr>
      <w:tr w14:paraId="75E48A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0" w:hRule="atLeast"/>
        </w:trPr>
        <w:tc>
          <w:tcPr>
            <w:tcW w:w="1700" w:type="dxa"/>
            <w:vMerge w:val="continue"/>
            <w:tcBorders>
              <w:right w:val="single" w:color="auto" w:sz="4" w:space="0"/>
            </w:tcBorders>
            <w:noWrap w:val="0"/>
            <w:vAlign w:val="center"/>
          </w:tcPr>
          <w:p w14:paraId="7FA186B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D5C0874">
            <w:pPr>
              <w:pStyle w:val="31"/>
              <w:spacing w:before="130" w:line="403" w:lineRule="auto"/>
              <w:ind w:right="139" w:rightChars="0"/>
              <w:jc w:val="left"/>
              <w:rPr>
                <w:rFonts w:hint="default" w:ascii="Times New Roman" w:hAnsi="Times New Roman" w:cs="Times New Roman"/>
                <w:i w:val="0"/>
                <w:iCs w:val="0"/>
                <w:strike/>
                <w:dstrike w:val="0"/>
                <w:color w:val="auto"/>
                <w:kern w:val="0"/>
                <w:sz w:val="24"/>
                <w:szCs w:val="24"/>
                <w:highlight w:val="none"/>
                <w:u w:val="single"/>
                <w:lang w:val="en-US" w:eastAsia="zh-CN"/>
              </w:rPr>
            </w:pPr>
            <w:r>
              <w:rPr>
                <w:rFonts w:hint="eastAsia" w:ascii="宋体" w:hAnsi="宋体" w:cs="Times New Roman"/>
                <w:i w:val="0"/>
                <w:iCs w:val="0"/>
                <w:color w:val="auto"/>
                <w:sz w:val="24"/>
              </w:rPr>
              <w:t>售后</w:t>
            </w: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4</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D7C91B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售后，综合评定：</w:t>
            </w:r>
          </w:p>
          <w:p w14:paraId="04578C95">
            <w:pPr>
              <w:keepNext w:val="0"/>
              <w:keepLines w:val="0"/>
              <w:pageBreakBefore w:val="0"/>
              <w:widowControl w:val="0"/>
              <w:numPr>
                <w:ilvl w:val="0"/>
                <w:numId w:val="2"/>
              </w:numPr>
              <w:kinsoku/>
              <w:wordWrap w:val="0"/>
              <w:overflowPunct/>
              <w:topLinePunct w:val="0"/>
              <w:autoSpaceDE/>
              <w:autoSpaceDN/>
              <w:bidi w:val="0"/>
              <w:adjustRightInd/>
              <w:snapToGrid/>
              <w:spacing w:line="400" w:lineRule="exact"/>
              <w:ind w:firstLine="480" w:firstLineChars="200"/>
              <w:jc w:val="both"/>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整机设备故障解决问题的时间，提供承诺，优秀的得1分，一般的得0.5分，不完善的得0分；（供应商接到服务电话后2小时内响应并到达现场为优秀，5小时内响应并到达现场为一般，不提供的承诺不得分）；</w:t>
            </w:r>
          </w:p>
          <w:p w14:paraId="4A3AF7B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2.售后服务部机构配置情况1分；</w:t>
            </w:r>
          </w:p>
          <w:p w14:paraId="727541C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3、整个实施过程的售后服务内容和培训计划1分；</w:t>
            </w:r>
          </w:p>
          <w:p w14:paraId="215292C7">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4、质保期满后，设备售后保障说明及解决方案1分。</w:t>
            </w:r>
          </w:p>
          <w:p w14:paraId="45E3261A">
            <w:pPr>
              <w:pStyle w:val="2"/>
              <w:ind w:firstLine="240" w:firstLineChars="100"/>
              <w:rPr>
                <w:rFonts w:hint="eastAsia"/>
                <w:lang w:val="en-US" w:eastAsia="zh-CN"/>
              </w:rPr>
            </w:pPr>
            <w:r>
              <w:rPr>
                <w:rFonts w:hint="eastAsia"/>
                <w:lang w:val="en-US" w:eastAsia="zh-CN"/>
              </w:rPr>
              <w:t>注：需出具质保承诺书，格式自拟，加盖供应商公章，并装订入响应文件中。</w:t>
            </w:r>
          </w:p>
        </w:tc>
      </w:tr>
      <w:permEnd w:id="61"/>
      <w:tr w14:paraId="78A7DE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96" w:hRule="atLeast"/>
        </w:trPr>
        <w:tc>
          <w:tcPr>
            <w:tcW w:w="1700" w:type="dxa"/>
            <w:vMerge w:val="continue"/>
            <w:tcBorders>
              <w:right w:val="single" w:color="auto" w:sz="4" w:space="0"/>
            </w:tcBorders>
            <w:noWrap w:val="0"/>
            <w:vAlign w:val="center"/>
          </w:tcPr>
          <w:p w14:paraId="170E8F2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permStart w:id="62" w:edGrp="everyone"/>
          </w:p>
        </w:tc>
        <w:tc>
          <w:tcPr>
            <w:tcW w:w="1984" w:type="dxa"/>
            <w:tcBorders>
              <w:top w:val="single" w:color="auto" w:sz="4" w:space="0"/>
              <w:left w:val="single" w:color="auto" w:sz="4" w:space="0"/>
              <w:bottom w:val="single" w:color="auto" w:sz="4" w:space="0"/>
              <w:right w:val="single" w:color="auto" w:sz="4" w:space="0"/>
            </w:tcBorders>
            <w:noWrap w:val="0"/>
            <w:vAlign w:val="center"/>
          </w:tcPr>
          <w:p w14:paraId="05C1005F">
            <w:pPr>
              <w:pStyle w:val="31"/>
              <w:spacing w:before="130" w:line="403" w:lineRule="auto"/>
              <w:ind w:right="138" w:rightChars="0"/>
              <w:jc w:val="left"/>
              <w:rPr>
                <w:rFonts w:hint="default" w:ascii="Times New Roman" w:hAnsi="Times New Roman" w:cs="Times New Roman"/>
                <w:i w:val="0"/>
                <w:iCs w:val="0"/>
                <w:strike w:val="0"/>
                <w:dstrike w:val="0"/>
                <w:color w:val="auto"/>
                <w:kern w:val="0"/>
                <w:sz w:val="24"/>
                <w:szCs w:val="24"/>
                <w:highlight w:val="none"/>
                <w:u w:val="single"/>
                <w:lang w:val="en-US" w:eastAsia="zh-CN"/>
              </w:rPr>
            </w:pPr>
            <w:r>
              <w:rPr>
                <w:rFonts w:hint="eastAsia" w:ascii="宋体" w:hAnsi="宋体" w:cs="Times New Roman"/>
                <w:i w:val="0"/>
                <w:iCs w:val="0"/>
                <w:strike w:val="0"/>
                <w:dstrike w:val="0"/>
                <w:color w:val="auto"/>
                <w:sz w:val="24"/>
                <w:lang w:val="en-US" w:eastAsia="zh-CN"/>
              </w:rPr>
              <w:t>质保期</w:t>
            </w:r>
            <w:r>
              <w:rPr>
                <w:rFonts w:hint="default" w:ascii="Times New Roman" w:hAnsi="Times New Roman" w:cs="Times New Roman"/>
                <w:i w:val="0"/>
                <w:iCs w:val="0"/>
                <w:strike w:val="0"/>
                <w:dstrike w:val="0"/>
                <w:color w:val="auto"/>
                <w:kern w:val="0"/>
                <w:sz w:val="24"/>
                <w:szCs w:val="24"/>
                <w:highlight w:val="none"/>
                <w:u w:val="single"/>
                <w:lang w:val="en-US" w:eastAsia="zh-CN"/>
              </w:rPr>
              <w:t>（</w:t>
            </w:r>
            <w:r>
              <w:rPr>
                <w:rFonts w:hint="eastAsia" w:ascii="Times New Roman" w:hAnsi="Times New Roman" w:cs="Times New Roman"/>
                <w:i w:val="0"/>
                <w:iCs w:val="0"/>
                <w:strike w:val="0"/>
                <w:dstrike w:val="0"/>
                <w:color w:val="auto"/>
                <w:kern w:val="0"/>
                <w:sz w:val="24"/>
                <w:szCs w:val="24"/>
                <w:highlight w:val="none"/>
                <w:u w:val="single"/>
                <w:lang w:val="en-US" w:eastAsia="zh-CN"/>
              </w:rPr>
              <w:t>10</w:t>
            </w:r>
            <w:r>
              <w:rPr>
                <w:rFonts w:hint="default" w:ascii="Times New Roman" w:hAnsi="Times New Roman" w:cs="Times New Roman"/>
                <w:i w:val="0"/>
                <w:iCs w:val="0"/>
                <w:strike w:val="0"/>
                <w:dstrike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CB6384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质保期，综合评定：</w:t>
            </w:r>
          </w:p>
          <w:p w14:paraId="6A8C5FF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质保期在满足采购文件要求的基础上（自本工程最终验收合格之日开始计算【2】年）， 每承诺增加1年得2分，最多得10分。</w:t>
            </w:r>
          </w:p>
          <w:p w14:paraId="0F55454D">
            <w:pPr>
              <w:pStyle w:val="2"/>
              <w:ind w:firstLine="480" w:firstLineChars="200"/>
              <w:rPr>
                <w:rFonts w:hint="default"/>
                <w:lang w:val="en-US" w:eastAsia="zh-CN"/>
              </w:rPr>
            </w:pPr>
            <w:r>
              <w:rPr>
                <w:rFonts w:hint="eastAsia" w:cs="Times New Roman"/>
                <w:i w:val="0"/>
                <w:iCs w:val="0"/>
                <w:color w:val="auto"/>
                <w:sz w:val="24"/>
                <w:lang w:val="en-US" w:eastAsia="zh-CN"/>
              </w:rPr>
              <w:t>需出具质保承诺书，格式自拟，加盖供应商公章，并装订入响应文件中。</w:t>
            </w:r>
          </w:p>
        </w:tc>
      </w:tr>
      <w:permEnd w:id="62"/>
      <w:tr w14:paraId="517897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9B49C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lang w:val="en-US" w:eastAsia="zh-CN"/>
              </w:rPr>
            </w:pPr>
            <w:permStart w:id="63" w:edGrp="everyone" w:colFirst="1" w:colLast="1"/>
            <w:permStart w:id="64" w:edGrp="everyone" w:colFirst="2" w:colLast="2"/>
            <w:r>
              <w:rPr>
                <w:rFonts w:hint="eastAsia" w:ascii="Times New Roman" w:hAnsi="Times New Roman" w:cs="Times New Roman"/>
                <w:i w:val="0"/>
                <w:iCs w:val="0"/>
                <w:color w:val="auto"/>
                <w:kern w:val="0"/>
                <w:sz w:val="24"/>
                <w:szCs w:val="24"/>
                <w:highlight w:val="none"/>
                <w:lang w:val="en-US" w:eastAsia="zh-CN"/>
              </w:rPr>
              <w:t>响应报价评分标准</w:t>
            </w:r>
          </w:p>
          <w:p w14:paraId="65D46E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kern w:val="0"/>
                <w:sz w:val="21"/>
                <w:szCs w:val="21"/>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40</w:t>
            </w:r>
            <w:r>
              <w:rPr>
                <w:rFonts w:hint="default" w:ascii="Times New Roman" w:hAnsi="Times New Roman" w:cs="Times New Roman"/>
                <w:i w:val="0"/>
                <w:iCs w:val="0"/>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86FE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i w:val="0"/>
                <w:iCs w:val="0"/>
                <w:color w:val="FF0000"/>
                <w:kern w:val="0"/>
                <w:sz w:val="24"/>
                <w:szCs w:val="24"/>
                <w:highlight w:val="none"/>
                <w:u w:val="single"/>
                <w:lang w:val="en-US" w:eastAsia="zh-CN"/>
              </w:rPr>
            </w:pPr>
            <w:r>
              <w:rPr>
                <w:rFonts w:hint="eastAsia" w:ascii="宋体" w:hAnsi="宋体" w:eastAsia="宋体" w:cs="宋体"/>
                <w:i w:val="0"/>
                <w:iCs w:val="0"/>
                <w:color w:val="FF0000"/>
                <w:kern w:val="0"/>
                <w:sz w:val="24"/>
                <w:szCs w:val="24"/>
                <w:highlight w:val="none"/>
                <w:u w:val="single"/>
                <w:lang w:val="en-US" w:eastAsia="zh-CN"/>
              </w:rPr>
              <w:t>（响应报价</w:t>
            </w:r>
          </w:p>
          <w:p w14:paraId="1A39FE5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kern w:val="0"/>
                <w:sz w:val="21"/>
                <w:szCs w:val="21"/>
                <w:highlight w:val="none"/>
                <w:lang w:val="en-US" w:eastAsia="zh-CN"/>
              </w:rPr>
            </w:pPr>
            <w:r>
              <w:rPr>
                <w:rFonts w:hint="eastAsia" w:ascii="宋体" w:hAnsi="宋体" w:eastAsia="宋体" w:cs="宋体"/>
                <w:i w:val="0"/>
                <w:iCs w:val="0"/>
                <w:color w:val="FF0000"/>
                <w:kern w:val="0"/>
                <w:sz w:val="24"/>
                <w:szCs w:val="24"/>
                <w:highlight w:val="none"/>
                <w:u w:val="single"/>
                <w:lang w:val="en-US" w:eastAsia="zh-CN"/>
              </w:rPr>
              <w:t>40分）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12B518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以所有有效供应商报价算术平均值作为基准价，公式如下：</w:t>
            </w:r>
          </w:p>
          <w:p w14:paraId="7F9FC2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供应商的</w:t>
            </w:r>
            <w:r>
              <w:rPr>
                <w:rFonts w:hint="default" w:ascii="宋体" w:hAnsi="宋体" w:cs="Times New Roman"/>
                <w:i w:val="0"/>
                <w:iCs w:val="0"/>
                <w:color w:val="auto"/>
                <w:sz w:val="24"/>
                <w:lang w:val="en-US" w:eastAsia="zh-CN"/>
              </w:rPr>
              <w:t>报价等于基准价的，得满分</w:t>
            </w:r>
            <w:r>
              <w:rPr>
                <w:rFonts w:hint="eastAsia" w:ascii="宋体" w:hAnsi="宋体" w:cs="Times New Roman"/>
                <w:i w:val="0"/>
                <w:iCs w:val="0"/>
                <w:color w:val="auto"/>
                <w:sz w:val="24"/>
                <w:lang w:val="en-US" w:eastAsia="zh-CN"/>
              </w:rPr>
              <w:t>40</w:t>
            </w:r>
            <w:r>
              <w:rPr>
                <w:rFonts w:hint="default" w:ascii="宋体" w:hAnsi="宋体" w:cs="Times New Roman"/>
                <w:i w:val="0"/>
                <w:iCs w:val="0"/>
                <w:color w:val="auto"/>
                <w:sz w:val="24"/>
                <w:lang w:val="en-US" w:eastAsia="zh-CN"/>
              </w:rPr>
              <w:t>分。</w:t>
            </w:r>
          </w:p>
          <w:p w14:paraId="320A736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供应商的</w:t>
            </w:r>
            <w:r>
              <w:rPr>
                <w:rFonts w:hint="default" w:ascii="宋体" w:hAnsi="宋体" w:cs="Times New Roman"/>
                <w:i w:val="0"/>
                <w:iCs w:val="0"/>
                <w:color w:val="auto"/>
                <w:sz w:val="24"/>
                <w:lang w:val="en-US" w:eastAsia="zh-CN"/>
              </w:rPr>
              <w:t>报价高于基准价的，报价得分计算公式</w:t>
            </w:r>
            <w:r>
              <w:rPr>
                <w:rFonts w:hint="eastAsia" w:ascii="宋体" w:hAnsi="宋体" w:cs="Times New Roman"/>
                <w:i w:val="0"/>
                <w:iCs w:val="0"/>
                <w:color w:val="auto"/>
                <w:sz w:val="24"/>
                <w:lang w:val="en-US" w:eastAsia="zh-CN"/>
              </w:rPr>
              <w:t>：4</w:t>
            </w:r>
            <w:r>
              <w:rPr>
                <w:rFonts w:hint="default" w:ascii="宋体" w:hAnsi="宋体" w:cs="Times New Roman"/>
                <w:i w:val="0"/>
                <w:iCs w:val="0"/>
                <w:color w:val="auto"/>
                <w:sz w:val="24"/>
                <w:lang w:val="en-US" w:eastAsia="zh-CN"/>
              </w:rPr>
              <w:t>0-(投标报价-基准价)/基准价*</w:t>
            </w:r>
            <w:r>
              <w:rPr>
                <w:rFonts w:hint="eastAsia" w:ascii="宋体" w:hAnsi="宋体" w:cs="Times New Roman"/>
                <w:i w:val="0"/>
                <w:iCs w:val="0"/>
                <w:color w:val="auto"/>
                <w:sz w:val="24"/>
                <w:lang w:val="en-US" w:eastAsia="zh-CN"/>
              </w:rPr>
              <w:t>1</w:t>
            </w:r>
            <w:r>
              <w:rPr>
                <w:rFonts w:hint="default" w:ascii="宋体" w:hAnsi="宋体" w:cs="Times New Roman"/>
                <w:i w:val="0"/>
                <w:iCs w:val="0"/>
                <w:color w:val="auto"/>
                <w:sz w:val="24"/>
                <w:lang w:val="en-US" w:eastAsia="zh-CN"/>
              </w:rPr>
              <w:t>*100</w:t>
            </w:r>
            <w:r>
              <w:rPr>
                <w:rFonts w:hint="eastAsia" w:ascii="宋体" w:hAnsi="宋体" w:cs="Times New Roman"/>
                <w:i w:val="0"/>
                <w:iCs w:val="0"/>
                <w:color w:val="auto"/>
                <w:sz w:val="24"/>
                <w:lang w:val="en-US" w:eastAsia="zh-CN"/>
              </w:rPr>
              <w:t>；</w:t>
            </w:r>
          </w:p>
          <w:p w14:paraId="4FC848D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cs="Times New Roman"/>
                <w:i w:val="0"/>
                <w:iCs w:val="0"/>
                <w:color w:val="auto"/>
                <w:sz w:val="24"/>
                <w:lang w:val="en-US" w:eastAsia="zh-CN"/>
              </w:rPr>
            </w:pPr>
            <w:r>
              <w:rPr>
                <w:rFonts w:hint="eastAsia" w:ascii="宋体" w:hAnsi="宋体" w:cs="Times New Roman"/>
                <w:i w:val="0"/>
                <w:iCs w:val="0"/>
                <w:color w:val="auto"/>
                <w:sz w:val="24"/>
                <w:lang w:val="en-US" w:eastAsia="zh-CN"/>
              </w:rPr>
              <w:t>供应商的</w:t>
            </w:r>
            <w:r>
              <w:rPr>
                <w:rFonts w:hint="default" w:ascii="宋体" w:hAnsi="宋体" w:cs="Times New Roman"/>
                <w:i w:val="0"/>
                <w:iCs w:val="0"/>
                <w:color w:val="auto"/>
                <w:sz w:val="24"/>
                <w:lang w:val="en-US" w:eastAsia="zh-CN"/>
              </w:rPr>
              <w:t>报价低于基准价的，报价得分计算公式</w:t>
            </w:r>
            <w:r>
              <w:rPr>
                <w:rFonts w:hint="eastAsia" w:ascii="宋体" w:hAnsi="宋体" w:cs="Times New Roman"/>
                <w:i w:val="0"/>
                <w:iCs w:val="0"/>
                <w:color w:val="auto"/>
                <w:sz w:val="24"/>
                <w:lang w:val="en-US" w:eastAsia="zh-CN"/>
              </w:rPr>
              <w:t>：4</w:t>
            </w:r>
            <w:r>
              <w:rPr>
                <w:rFonts w:hint="default" w:ascii="宋体" w:hAnsi="宋体" w:cs="Times New Roman"/>
                <w:i w:val="0"/>
                <w:iCs w:val="0"/>
                <w:color w:val="auto"/>
                <w:sz w:val="24"/>
                <w:lang w:val="en-US" w:eastAsia="zh-CN"/>
              </w:rPr>
              <w:t>0+(投标报价-基准价)/基准价*</w:t>
            </w:r>
            <w:r>
              <w:rPr>
                <w:rFonts w:hint="eastAsia" w:ascii="宋体" w:hAnsi="宋体" w:cs="Times New Roman"/>
                <w:i w:val="0"/>
                <w:iCs w:val="0"/>
                <w:color w:val="auto"/>
                <w:sz w:val="24"/>
                <w:lang w:val="en-US" w:eastAsia="zh-CN"/>
              </w:rPr>
              <w:t>0.5</w:t>
            </w:r>
            <w:r>
              <w:rPr>
                <w:rFonts w:hint="default" w:ascii="宋体" w:hAnsi="宋体" w:cs="Times New Roman"/>
                <w:i w:val="0"/>
                <w:iCs w:val="0"/>
                <w:color w:val="auto"/>
                <w:sz w:val="24"/>
                <w:lang w:val="en-US" w:eastAsia="zh-CN"/>
              </w:rPr>
              <w:t>*100</w:t>
            </w:r>
            <w:r>
              <w:rPr>
                <w:rFonts w:hint="eastAsia" w:ascii="宋体" w:hAnsi="宋体" w:cs="Times New Roman"/>
                <w:i w:val="0"/>
                <w:iCs w:val="0"/>
                <w:color w:val="auto"/>
                <w:sz w:val="24"/>
                <w:lang w:val="en-US" w:eastAsia="zh-CN"/>
              </w:rPr>
              <w:t>。</w:t>
            </w:r>
          </w:p>
          <w:p w14:paraId="62881A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i w:val="0"/>
                <w:iCs w:val="0"/>
                <w:kern w:val="0"/>
                <w:sz w:val="21"/>
                <w:szCs w:val="21"/>
                <w:highlight w:val="none"/>
                <w:lang w:val="en-US" w:eastAsia="zh-CN"/>
              </w:rPr>
            </w:pPr>
            <w:r>
              <w:rPr>
                <w:rFonts w:hint="default" w:ascii="宋体" w:hAnsi="宋体" w:cs="Times New Roman"/>
                <w:i w:val="0"/>
                <w:iCs w:val="0"/>
                <w:color w:val="auto"/>
                <w:sz w:val="24"/>
                <w:lang w:val="en-US" w:eastAsia="zh-CN"/>
              </w:rPr>
              <w:t>注</w:t>
            </w:r>
            <w:r>
              <w:rPr>
                <w:rFonts w:hint="eastAsia" w:ascii="宋体" w:hAnsi="宋体" w:cs="Times New Roman"/>
                <w:i w:val="0"/>
                <w:iCs w:val="0"/>
                <w:color w:val="auto"/>
                <w:sz w:val="24"/>
                <w:lang w:val="en-US" w:eastAsia="zh-CN"/>
              </w:rPr>
              <w:t>：投标报价得分最低扣至20分；</w:t>
            </w:r>
            <w:r>
              <w:rPr>
                <w:rFonts w:hint="default" w:ascii="宋体" w:hAnsi="宋体" w:cs="Times New Roman"/>
                <w:i w:val="0"/>
                <w:iCs w:val="0"/>
                <w:color w:val="auto"/>
                <w:sz w:val="24"/>
                <w:lang w:val="en-US" w:eastAsia="zh-CN"/>
              </w:rPr>
              <w:t>得分</w:t>
            </w:r>
            <w:r>
              <w:rPr>
                <w:rFonts w:hint="eastAsia" w:ascii="宋体" w:hAnsi="宋体" w:cs="Times New Roman"/>
                <w:i w:val="0"/>
                <w:iCs w:val="0"/>
                <w:color w:val="auto"/>
                <w:sz w:val="24"/>
                <w:lang w:val="en-US" w:eastAsia="zh-CN"/>
              </w:rPr>
              <w:t>保留</w:t>
            </w:r>
            <w:r>
              <w:rPr>
                <w:rFonts w:hint="default" w:ascii="宋体" w:hAnsi="宋体" w:cs="Times New Roman"/>
                <w:i w:val="0"/>
                <w:iCs w:val="0"/>
                <w:color w:val="auto"/>
                <w:sz w:val="24"/>
                <w:lang w:val="en-US" w:eastAsia="zh-CN"/>
              </w:rPr>
              <w:t>小数点后两位，第三位四舍五入。</w:t>
            </w:r>
          </w:p>
        </w:tc>
      </w:tr>
      <w:permEnd w:id="63"/>
      <w:permEnd w:id="64"/>
      <w:tr w14:paraId="053977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20" w:type="dxa"/>
            <w:gridSpan w:val="3"/>
            <w:tcBorders>
              <w:top w:val="single" w:color="auto" w:sz="4" w:space="0"/>
              <w:bottom w:val="single" w:color="auto" w:sz="4" w:space="0"/>
              <w:right w:val="single" w:color="auto" w:sz="4" w:space="0"/>
            </w:tcBorders>
            <w:noWrap w:val="0"/>
            <w:vAlign w:val="center"/>
          </w:tcPr>
          <w:p w14:paraId="68EA53A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eastAsiaTheme="minorEastAsia"/>
                <w:i w:val="0"/>
                <w:iCs w:val="0"/>
                <w:kern w:val="0"/>
                <w:sz w:val="21"/>
                <w:szCs w:val="21"/>
                <w:highlight w:val="none"/>
                <w:lang w:val="en-US" w:eastAsia="zh-CN"/>
              </w:rPr>
            </w:pPr>
            <w:permStart w:id="65" w:edGrp="everyone" w:colFirst="0" w:colLast="0"/>
            <w:r>
              <w:rPr>
                <w:rFonts w:hint="default" w:ascii="Times New Roman" w:hAnsi="Times New Roman" w:cs="Times New Roman"/>
                <w:i w:val="0"/>
                <w:iCs w:val="0"/>
                <w:kern w:val="0"/>
                <w:sz w:val="21"/>
                <w:szCs w:val="21"/>
                <w:highlight w:val="none"/>
                <w:lang w:val="en-US" w:eastAsia="zh-CN"/>
              </w:rPr>
              <w:t>注：</w:t>
            </w:r>
            <w:r>
              <w:rPr>
                <w:rFonts w:hint="eastAsia" w:ascii="Times New Roman" w:hAnsi="Times New Roman" w:cs="Times New Roman"/>
                <w:i w:val="0"/>
                <w:iCs w:val="0"/>
                <w:kern w:val="0"/>
                <w:sz w:val="21"/>
                <w:szCs w:val="21"/>
                <w:highlight w:val="none"/>
                <w:lang w:val="en-US" w:eastAsia="zh-CN"/>
              </w:rPr>
              <w:t>评分区间按照左闭右开，</w:t>
            </w:r>
            <w:r>
              <w:rPr>
                <w:rFonts w:hint="eastAsia"/>
              </w:rPr>
              <w:t>评分保留2位小数</w:t>
            </w:r>
            <w:r>
              <w:rPr>
                <w:rFonts w:hint="eastAsia"/>
                <w:lang w:eastAsia="zh-CN"/>
              </w:rPr>
              <w:t>。</w:t>
            </w:r>
          </w:p>
        </w:tc>
      </w:tr>
      <w:permEnd w:id="65"/>
    </w:tbl>
    <w:p w14:paraId="10C1BAD7">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综合评估法）</w:t>
      </w:r>
    </w:p>
    <w:p w14:paraId="5527CDE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eastAsia="zh-CN"/>
        </w:rPr>
        <w:t>本次</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kern w:val="0"/>
          <w:sz w:val="24"/>
          <w:szCs w:val="24"/>
          <w:highlight w:val="none"/>
          <w:lang w:eastAsia="zh-CN"/>
        </w:rPr>
        <w:t>采用综合评估法。</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对满足询比文件实质性要求的响应文件，按照本章第二条规定的评分标准进行打分，并按得分由高到低顺序推荐成交候选人，或根据采购人授权直接确定成交人，但报价低于其成本的除外。综合评分相等时，以报价低的优先；报价也相等的，由采购人或其授权的评审委员会自行确定。</w:t>
      </w:r>
    </w:p>
    <w:p w14:paraId="19A3461E">
      <w:pPr>
        <w:rPr>
          <w:rFonts w:hint="default" w:ascii="Times New Roman" w:hAnsi="Times New Roman" w:cs="Times New Roman" w:eastAsiaTheme="minorEastAsia"/>
          <w:b/>
          <w:bCs/>
          <w:kern w:val="0"/>
          <w:sz w:val="28"/>
          <w:szCs w:val="28"/>
          <w:highlight w:val="none"/>
        </w:rPr>
      </w:pPr>
      <w:bookmarkStart w:id="249" w:name="_Toc152045593"/>
      <w:bookmarkStart w:id="250" w:name="_Toc247085751"/>
      <w:bookmarkStart w:id="251" w:name="_Toc246996979"/>
      <w:bookmarkStart w:id="252" w:name="_Toc296602481"/>
      <w:bookmarkStart w:id="253" w:name="_Toc246996236"/>
      <w:bookmarkStart w:id="254" w:name="_Toc152042370"/>
      <w:bookmarkStart w:id="255" w:name="_Toc144974560"/>
      <w:bookmarkStart w:id="256" w:name="_Toc179632611"/>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9"/>
      <w:bookmarkEnd w:id="250"/>
      <w:bookmarkEnd w:id="251"/>
      <w:bookmarkEnd w:id="252"/>
      <w:bookmarkEnd w:id="253"/>
      <w:bookmarkEnd w:id="254"/>
      <w:bookmarkEnd w:id="255"/>
      <w:bookmarkEnd w:id="256"/>
    </w:p>
    <w:p w14:paraId="73A22FD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03AE8E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5CF10F1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6E61FAA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F10D12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1302776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5890CC4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EF9185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79C92C9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1433E4E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017334F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44046D4D">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1"/>
      <w:r>
        <w:rPr>
          <w:rFonts w:hint="default" w:ascii="Times New Roman" w:hAnsi="Times New Roman" w:cs="Times New Roman" w:eastAsiaTheme="minorEastAsia"/>
          <w:b/>
          <w:bCs/>
          <w:kern w:val="0"/>
          <w:sz w:val="28"/>
          <w:szCs w:val="28"/>
          <w:highlight w:val="none"/>
          <w:lang w:eastAsia="zh-CN"/>
        </w:rPr>
        <w:t>和补正</w:t>
      </w:r>
      <w:bookmarkEnd w:id="242"/>
      <w:bookmarkEnd w:id="243"/>
      <w:bookmarkEnd w:id="244"/>
      <w:bookmarkEnd w:id="245"/>
      <w:bookmarkEnd w:id="246"/>
      <w:bookmarkEnd w:id="247"/>
      <w:bookmarkEnd w:id="248"/>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087B7F5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p>
    <w:p w14:paraId="4DE080B1">
      <w:pPr>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br w:type="page"/>
      </w:r>
    </w:p>
    <w:p w14:paraId="080C87F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6"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亳州市晔瀚置业有限公司  </w:t>
            </w:r>
            <w:permEnd w:id="66"/>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67" w:edGrp="everyone"/>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 xml:space="preserve">全部设备到达现场后，采购人向供应商支付合同总价款的50%；全部设备安装、调试完成后经验收合格后，采购人向供应商支付至合同总价款的70%；采购人验收通过、市政并网正常通水、完成移交后，采购人向供应商支付至合同总价款的85%；工程结算审核完成，付至结算审定金额的97%；余款3%作为质保金，验收合格质保期满且无质量问题后无息退还 </w:t>
            </w:r>
            <w:permEnd w:id="67"/>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在每次支付合同价款之前，供应商须按采购人要求及合同约定向采购人提供等额、合法、有效的增值税专用发票，在采购人支付至审定金额的97%前，供应商须开具至审定金额100%的发票；否则，采购人有权拒绝付款并不视为违约。。</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8" w:edGrp="everyone"/>
            <w:r>
              <w:rPr>
                <w:rFonts w:hint="eastAsia" w:ascii="Times New Roman" w:hAnsi="Times New Roman" w:cs="Times New Roman"/>
                <w:color w:val="FF0000"/>
                <w:kern w:val="0"/>
                <w:sz w:val="24"/>
                <w:szCs w:val="24"/>
                <w:highlight w:val="none"/>
                <w:shd w:val="clear" w:color="auto" w:fill="auto"/>
                <w:vertAlign w:val="baseline"/>
                <w:lang w:val="en-US" w:eastAsia="zh-CN"/>
              </w:rPr>
              <w:t>质保期自本工程最终验收合格之日开始计算不低于2年，如供应商有更长质保期承诺的，或制造商、国家有更长质保期规定的，应从其承诺和规定。</w:t>
            </w:r>
            <w:permEnd w:id="68"/>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712B832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textWrapping"/>
      </w:r>
    </w:p>
    <w:p w14:paraId="0812F666">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14:paraId="5893EE5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五</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采购需求</w:t>
      </w:r>
    </w:p>
    <w:p w14:paraId="3D0D694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lang w:val="en-US" w:eastAsia="zh-CN"/>
        </w:rPr>
      </w:pPr>
      <w:r>
        <w:rPr>
          <w:rFonts w:hint="eastAsia" w:ascii="宋体" w:hAnsi="宋体" w:eastAsia="宋体" w:cs="宋体"/>
          <w:color w:val="FF0000"/>
          <w:sz w:val="24"/>
          <w:lang w:val="en-US" w:eastAsia="zh-CN"/>
        </w:rPr>
        <w:t>设备要求：响应主体设备应具有有效期内的卫生行政主管部门批准的涉及饮用水卫生安全产品的卫生许可批件，并提供证明文件复印件附在响应文件中，否则视为响应文件无效。</w:t>
      </w:r>
    </w:p>
    <w:p w14:paraId="274E672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一、一般要求</w:t>
      </w:r>
    </w:p>
    <w:p w14:paraId="53D4264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1.供应商施工范围：泵房位于地下负一层，成套设备主进出水管道施工至出泵房地下车库顶（含顶板开洞、防水封堵）并负责接口处衔接施工，出水管施工至出泵房外墙并负责接口处衔接施工。</w:t>
      </w:r>
    </w:p>
    <w:p w14:paraId="1A2C1B8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2.总承包施工范围：地下室生活水泵房内一体化设备及其全部电缆线由供水、供电单位施工（除生活水泵房排污泵、照明配电箱由总包施工外）。</w:t>
      </w:r>
    </w:p>
    <w:p w14:paraId="04C5A73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3.自来水公司施工范围：室外环网至地下室生活泵房外墙、顶板的进水管道安装施工。</w:t>
      </w:r>
    </w:p>
    <w:p w14:paraId="7203710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共有2套二次供水设备，其中：加压一区Q=125m3/h,出水压力0.56MPa,单泵N=15kW,三用一备稳流罐容积1.5m3；加压二区Q=48m3/h,出水压加0.81MPa,单</w:t>
      </w:r>
      <w:r>
        <w:rPr>
          <w:rFonts w:hint="eastAsia" w:ascii="宋体" w:hAnsi="宋体" w:eastAsia="宋体" w:cs="宋体"/>
          <w:sz w:val="24"/>
          <w:lang w:val="en-US" w:eastAsia="zh-CN"/>
        </w:rPr>
        <w:t>泵</w:t>
      </w:r>
      <w:r>
        <w:rPr>
          <w:rFonts w:hint="eastAsia" w:ascii="宋体" w:hAnsi="宋体" w:eastAsia="宋体" w:cs="宋体"/>
          <w:sz w:val="24"/>
        </w:rPr>
        <w:t>N=11kW,两用一备稳流罐容积0.35m3。</w:t>
      </w:r>
    </w:p>
    <w:p w14:paraId="789D3C6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rPr>
      </w:pPr>
      <w:r>
        <w:rPr>
          <w:rFonts w:hint="eastAsia" w:ascii="宋体" w:hAnsi="宋体" w:eastAsia="宋体" w:cs="宋体"/>
          <w:sz w:val="24"/>
        </w:rPr>
        <w:t>以上参数需</w:t>
      </w:r>
      <w:r>
        <w:rPr>
          <w:rFonts w:hint="eastAsia" w:ascii="宋体" w:hAnsi="宋体" w:eastAsia="宋体" w:cs="宋体"/>
          <w:sz w:val="24"/>
          <w:lang w:val="en-US" w:eastAsia="zh-CN"/>
        </w:rPr>
        <w:t>供应商</w:t>
      </w:r>
      <w:r>
        <w:rPr>
          <w:rFonts w:hint="eastAsia" w:ascii="宋体" w:hAnsi="宋体" w:eastAsia="宋体" w:cs="宋体"/>
          <w:sz w:val="24"/>
        </w:rPr>
        <w:t>报价时自行复核、深化，但需满足相关规范、验收及使用需求。</w:t>
      </w:r>
    </w:p>
    <w:p w14:paraId="3B9F3B7D">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600" w:leftChars="0" w:firstLine="0" w:firstLineChars="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技术参数要求（设备性能及技术要求）</w:t>
      </w:r>
    </w:p>
    <w:p w14:paraId="20CC9153">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eastAsia" w:ascii="Times New Roman" w:hAnsi="Times New Roman" w:eastAsia="宋体" w:cs="Times New Roman"/>
          <w:kern w:val="1"/>
          <w:sz w:val="24"/>
          <w:szCs w:val="24"/>
          <w:highlight w:val="none"/>
          <w:lang w:val="en-US" w:eastAsia="zh-CN" w:bidi="zh-CN"/>
        </w:rPr>
        <w:t>1</w:t>
      </w:r>
      <w:r>
        <w:rPr>
          <w:rFonts w:hint="default" w:ascii="Times New Roman" w:hAnsi="Times New Roman" w:eastAsia="宋体" w:cs="Times New Roman"/>
          <w:kern w:val="1"/>
          <w:sz w:val="24"/>
          <w:szCs w:val="24"/>
          <w:highlight w:val="none"/>
          <w:lang w:val="en-US" w:eastAsia="zh-CN" w:bidi="zh-CN"/>
        </w:rPr>
        <w:t>、成套设备安全功能要求</w:t>
      </w:r>
    </w:p>
    <w:p w14:paraId="13DFBA31">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(1)自动恒压：根据工程实际情况，可现场设定设备出水压力，采用控制算法根据出水压力与设定压力相比较，自动调节保持出水压力恒定，恒定压力控制精度≤±0.01Mpa 。系统根据供水流量的变化增加或减少水泵台数。在切换过程中保持供水压力平稳。</w:t>
      </w:r>
    </w:p>
    <w:p w14:paraId="23EC07B2">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(2)自动轮换功能：系统可以选择定时轮换与定点轮换方式，用户可设置轮换时间。系统自动累计各水泵的运行时间，每次均优先启动运行时间最短的水泵。</w:t>
      </w:r>
    </w:p>
    <w:p w14:paraId="07C10F29">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(3)自动休眠：当设备在用水低峰期运行，实际用水量很小时，控制系统对检测到的信号进行处理，并迅速调整运行状态，直至设备小流量停机，实现停机零损耗。</w:t>
      </w:r>
    </w:p>
    <w:p w14:paraId="21B777B3">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(4)状态显示：通过触摸屏或人机交换系统可查看当前供水压力、设定压力及压力波动曲线、频率、流量等运行信息及各台水泵的运行状态（变频、故障、停止）和工作时间。</w:t>
      </w:r>
    </w:p>
    <w:p w14:paraId="64153295">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(5)故障报警与处理：出现过流、过载、缺相、欠压、超压、无水、变频故障等不适合设备工作的情况时，设备能自动切转换到保护状态，以保护设备不受到损坏。同时设备自动跳过故障回路或水泵，投入其他回路或水泵，避免设备不必要的停机影响到用户用水，同时发出报警信号。</w:t>
      </w:r>
    </w:p>
    <w:p w14:paraId="316BC13A">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(6)管网爆管失压自动停机功能:当供水设备自动运行时，所有水泵满负荷运行，仍然满足不了供水压力需求，能自动停机并报警；待管理人员现场人为确认报警后，方能再次开机供水。</w:t>
      </w:r>
    </w:p>
    <w:p w14:paraId="1E08E615">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(7)无水/超压自动复位：无水/超压故障发生后，系统进入停机状态，当故障恢复后系统自动启动。当发生缺水（或负压）的状态下应能自动报警及停机保护，当进水恢复正常时，设备恢复正常运行。</w:t>
      </w:r>
    </w:p>
    <w:p w14:paraId="4884EC55">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(8)故障记录与存储：应具有故障报警和报警记忆功能，故障报警应及时准确。自动记录故障发生/恢复时间，故障类别。</w:t>
      </w:r>
    </w:p>
    <w:p w14:paraId="5576E48D">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eastAsia" w:ascii="Times New Roman" w:hAnsi="Times New Roman" w:eastAsia="宋体" w:cs="Times New Roman"/>
          <w:kern w:val="1"/>
          <w:sz w:val="24"/>
          <w:szCs w:val="24"/>
          <w:highlight w:val="none"/>
          <w:lang w:val="en-US" w:eastAsia="zh-CN" w:bidi="zh-CN"/>
        </w:rPr>
        <w:t>2</w:t>
      </w:r>
      <w:r>
        <w:rPr>
          <w:rFonts w:hint="default" w:ascii="Times New Roman" w:hAnsi="Times New Roman" w:eastAsia="宋体" w:cs="Times New Roman"/>
          <w:kern w:val="1"/>
          <w:sz w:val="24"/>
          <w:szCs w:val="24"/>
          <w:highlight w:val="none"/>
          <w:lang w:val="en-US" w:eastAsia="zh-CN" w:bidi="zh-CN"/>
        </w:rPr>
        <w:t>、控制部分技术要求</w:t>
      </w:r>
    </w:p>
    <w:p w14:paraId="70BCDF78">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 xml:space="preserve"> </w:t>
      </w:r>
      <w:r>
        <w:rPr>
          <w:rFonts w:hint="eastAsia" w:ascii="Times New Roman" w:hAnsi="Times New Roman" w:eastAsia="宋体" w:cs="Times New Roman"/>
          <w:kern w:val="1"/>
          <w:sz w:val="24"/>
          <w:szCs w:val="24"/>
          <w:highlight w:val="none"/>
          <w:lang w:val="en-US" w:eastAsia="zh-CN" w:bidi="zh-CN"/>
        </w:rPr>
        <w:t>2</w:t>
      </w:r>
      <w:r>
        <w:rPr>
          <w:rFonts w:hint="default" w:ascii="Times New Roman" w:hAnsi="Times New Roman" w:eastAsia="宋体" w:cs="Times New Roman"/>
          <w:kern w:val="1"/>
          <w:sz w:val="24"/>
          <w:szCs w:val="24"/>
          <w:highlight w:val="none"/>
          <w:lang w:val="en-US" w:eastAsia="zh-CN" w:bidi="zh-CN"/>
        </w:rPr>
        <w:t>.1一般要求</w:t>
      </w:r>
    </w:p>
    <w:p w14:paraId="398B0079">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a)控制箱的尺寸应符合 GB/T 3047.1 的要求。</w:t>
      </w:r>
    </w:p>
    <w:p w14:paraId="7873D7E4">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b)控制箱表面应平整、匀称，所有焊接处应均匀牢固，不应有明显的歪斜、翘曲、变形或烧穿等缺陷，其外观应符合 CJ/T 352 的要求。</w:t>
      </w:r>
    </w:p>
    <w:p w14:paraId="22F637BB">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c)控制箱的表面涂层不应眩目反光，颜色应均匀一致、整洁美观，不应有脱漆、起泡、裂缝、皱纹和流痕等现象。</w:t>
      </w:r>
    </w:p>
    <w:p w14:paraId="0E74CF7F">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d)控制箱的箱体应与设备壳体固定牢固。</w:t>
      </w:r>
    </w:p>
    <w:p w14:paraId="415E1EE1">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e)控制箱内部电器、电子元件选用及安装应符合设计图样要求，并应装配合理、结构紧凑、维修方便。控制箱内主电路母线与绝缘导线的颜色标记应符合要求。</w:t>
      </w:r>
    </w:p>
    <w:p w14:paraId="358782B0">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f)控制箱的防护等级应符合 GB 4208 的要求，且不应低于IP</w:t>
      </w:r>
      <w:r>
        <w:rPr>
          <w:rFonts w:hint="eastAsia" w:ascii="Times New Roman" w:hAnsi="Times New Roman" w:eastAsia="宋体" w:cs="Times New Roman"/>
          <w:kern w:val="1"/>
          <w:sz w:val="24"/>
          <w:szCs w:val="24"/>
          <w:highlight w:val="none"/>
          <w:lang w:val="en-US" w:eastAsia="zh-CN" w:bidi="zh-CN"/>
        </w:rPr>
        <w:t>55</w:t>
      </w:r>
      <w:r>
        <w:rPr>
          <w:rFonts w:hint="default" w:ascii="Times New Roman" w:hAnsi="Times New Roman" w:eastAsia="宋体" w:cs="Times New Roman"/>
          <w:kern w:val="1"/>
          <w:sz w:val="24"/>
          <w:szCs w:val="24"/>
          <w:highlight w:val="none"/>
          <w:lang w:val="en-US" w:eastAsia="zh-CN" w:bidi="zh-CN"/>
        </w:rPr>
        <w:t>。</w:t>
      </w:r>
    </w:p>
    <w:p w14:paraId="368805DE">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eastAsia" w:ascii="Times New Roman" w:hAnsi="Times New Roman" w:eastAsia="宋体" w:cs="Times New Roman"/>
          <w:kern w:val="1"/>
          <w:sz w:val="24"/>
          <w:szCs w:val="24"/>
          <w:highlight w:val="none"/>
          <w:lang w:val="en-US" w:eastAsia="zh-CN" w:bidi="zh-CN"/>
        </w:rPr>
        <w:t>2</w:t>
      </w:r>
      <w:r>
        <w:rPr>
          <w:rFonts w:hint="default" w:ascii="Times New Roman" w:hAnsi="Times New Roman" w:eastAsia="宋体" w:cs="Times New Roman"/>
          <w:kern w:val="1"/>
          <w:sz w:val="24"/>
          <w:szCs w:val="24"/>
          <w:highlight w:val="none"/>
          <w:lang w:val="en-US" w:eastAsia="zh-CN" w:bidi="zh-CN"/>
        </w:rPr>
        <w:t>.2面板显示</w:t>
      </w:r>
    </w:p>
    <w:p w14:paraId="6192AA1D">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a) 控制箱面板应有电源、电流、电压显示。</w:t>
      </w:r>
    </w:p>
    <w:p w14:paraId="1BCCF08E">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b) 控制箱面板应有水泵启、停状况显示。</w:t>
      </w:r>
    </w:p>
    <w:p w14:paraId="56D819C2">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c) 控制箱应有设定压力、实际压力、水泵频率、温度显示。</w:t>
      </w:r>
    </w:p>
    <w:p w14:paraId="218CA401">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d) 控制箱面板应有故障声，光报警显示。</w:t>
      </w:r>
    </w:p>
    <w:p w14:paraId="203B9962">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eastAsia" w:ascii="Times New Roman" w:hAnsi="Times New Roman" w:eastAsia="宋体" w:cs="Times New Roman"/>
          <w:kern w:val="1"/>
          <w:sz w:val="24"/>
          <w:szCs w:val="24"/>
          <w:highlight w:val="none"/>
          <w:lang w:val="en-US" w:eastAsia="zh-CN" w:bidi="zh-CN"/>
        </w:rPr>
        <w:t>2</w:t>
      </w:r>
      <w:r>
        <w:rPr>
          <w:rFonts w:hint="default" w:ascii="Times New Roman" w:hAnsi="Times New Roman" w:eastAsia="宋体" w:cs="Times New Roman"/>
          <w:kern w:val="1"/>
          <w:sz w:val="24"/>
          <w:szCs w:val="24"/>
          <w:highlight w:val="none"/>
          <w:lang w:val="en-US" w:eastAsia="zh-CN" w:bidi="zh-CN"/>
        </w:rPr>
        <w:t>.3设备电气性能</w:t>
      </w:r>
    </w:p>
    <w:p w14:paraId="2A9A67B9">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1）电气间隙与爬电距离</w:t>
      </w:r>
    </w:p>
    <w:p w14:paraId="4841C47E">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控制箱带电电路之间以及带电零部件或接地零部件之间的电气间隙和爬电距离应符合GB/T 3797 中 3.7 的规定。</w:t>
      </w:r>
    </w:p>
    <w:p w14:paraId="42FF41E6">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2）绝缘电阻与介电强度</w:t>
      </w:r>
    </w:p>
    <w:p w14:paraId="51C88559">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a) 设备中带电回路之间以及带电回路与大地之间（在该回路不直接接地时）的绝缘电阻应符合 GB/T 3797 中 4.8.1 的要求。</w:t>
      </w:r>
    </w:p>
    <w:p w14:paraId="1D96BCF7">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b) 设备的介电性能应符合 GB/T 3797 中 4.8.2 和 4.8.3 的要求。</w:t>
      </w:r>
    </w:p>
    <w:p w14:paraId="4C033A28">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3）安全接地</w:t>
      </w:r>
    </w:p>
    <w:p w14:paraId="42AFF5C8">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控制箱的金属构件应有可靠的接地保护。与接地点相连接的保护导线的截面，应符合 GB/T3797 的要求。与接地点连接的导线应是黄绿双色线。不能明显表明的接地点，应在其附近标注明显的接地符号。主接地点与设备任何有关的、因绝缘损坏可能带电的金属部件之间的电阻不应超过0.1Ω。连接接地线的螺钉和接地点不能作其它用途。</w:t>
      </w:r>
    </w:p>
    <w:p w14:paraId="33A73FFC">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4）恒定湿热试验</w:t>
      </w:r>
    </w:p>
    <w:p w14:paraId="5756A83E">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控制箱应能承受温度 40℃±2℃，相对湿度 90～95%，持续 48h 的恒定湿热试验，试验后设备应能正常工作。</w:t>
      </w:r>
    </w:p>
    <w:p w14:paraId="296E5B20">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5）低温试验</w:t>
      </w:r>
    </w:p>
    <w:p w14:paraId="3FF4DBE8">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控制箱应能承受温度 0℃±2℃，持续 2h 的低温试验，设备应能正常工作。</w:t>
      </w:r>
    </w:p>
    <w:p w14:paraId="21BDBC46">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6）高温试验</w:t>
      </w:r>
    </w:p>
    <w:p w14:paraId="7F48FFE4">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控制箱应能承受温度 40℃±2℃，持续 2h 的高温试验，设备应能正常工作。</w:t>
      </w:r>
    </w:p>
    <w:p w14:paraId="465994B5">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7）防雷</w:t>
      </w:r>
    </w:p>
    <w:p w14:paraId="62F956EF">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控制柜应有可靠的防雷击措施，并应符合GB/T 7450《电子设备雷击保护导则》的规定。</w:t>
      </w:r>
    </w:p>
    <w:p w14:paraId="21888616">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eastAsia" w:ascii="Times New Roman" w:hAnsi="Times New Roman" w:eastAsia="宋体" w:cs="Times New Roman"/>
          <w:kern w:val="1"/>
          <w:sz w:val="24"/>
          <w:szCs w:val="24"/>
          <w:highlight w:val="none"/>
          <w:lang w:val="en-US" w:eastAsia="zh-CN" w:bidi="zh-CN"/>
        </w:rPr>
        <w:t>3、</w:t>
      </w:r>
      <w:r>
        <w:rPr>
          <w:rFonts w:hint="default" w:ascii="Times New Roman" w:hAnsi="Times New Roman" w:eastAsia="宋体" w:cs="Times New Roman"/>
          <w:kern w:val="1"/>
          <w:sz w:val="24"/>
          <w:szCs w:val="24"/>
          <w:highlight w:val="none"/>
          <w:lang w:val="en-US" w:eastAsia="zh-CN" w:bidi="zh-CN"/>
        </w:rPr>
        <w:t>水泵机组</w:t>
      </w:r>
    </w:p>
    <w:p w14:paraId="13B4E9B2">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eastAsia" w:ascii="Times New Roman" w:hAnsi="Times New Roman" w:eastAsia="宋体" w:cs="Times New Roman"/>
          <w:kern w:val="1"/>
          <w:sz w:val="24"/>
          <w:szCs w:val="24"/>
          <w:highlight w:val="none"/>
          <w:lang w:val="en-US" w:eastAsia="zh-CN" w:bidi="zh-CN"/>
        </w:rPr>
        <w:t>（</w:t>
      </w:r>
      <w:r>
        <w:rPr>
          <w:rFonts w:hint="default" w:ascii="Times New Roman" w:hAnsi="Times New Roman" w:eastAsia="宋体" w:cs="Times New Roman"/>
          <w:kern w:val="1"/>
          <w:sz w:val="24"/>
          <w:szCs w:val="24"/>
          <w:highlight w:val="none"/>
          <w:lang w:val="en-US" w:eastAsia="zh-CN" w:bidi="zh-CN"/>
        </w:rPr>
        <w:t>1）所投水泵</w:t>
      </w:r>
      <w:r>
        <w:rPr>
          <w:rFonts w:hint="eastAsia" w:ascii="Times New Roman" w:hAnsi="Times New Roman" w:eastAsia="宋体" w:cs="Times New Roman"/>
          <w:kern w:val="1"/>
          <w:sz w:val="24"/>
          <w:szCs w:val="24"/>
          <w:highlight w:val="none"/>
          <w:lang w:val="en-US" w:eastAsia="zh-CN" w:bidi="zh-CN"/>
        </w:rPr>
        <w:t>采用智能水泵，水泵具有一拖一变频功能，</w:t>
      </w:r>
    </w:p>
    <w:p w14:paraId="0D1097EC">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eastAsia" w:ascii="Times New Roman" w:hAnsi="Times New Roman" w:eastAsia="宋体" w:cs="Times New Roman"/>
          <w:kern w:val="1"/>
          <w:sz w:val="24"/>
          <w:szCs w:val="24"/>
          <w:highlight w:val="none"/>
          <w:lang w:val="en-US" w:eastAsia="zh-CN" w:bidi="zh-CN"/>
        </w:rPr>
      </w:pPr>
      <w:r>
        <w:rPr>
          <w:rFonts w:hint="eastAsia" w:ascii="Times New Roman" w:hAnsi="Times New Roman" w:eastAsia="宋体" w:cs="Times New Roman"/>
          <w:kern w:val="1"/>
          <w:sz w:val="24"/>
          <w:szCs w:val="24"/>
          <w:highlight w:val="none"/>
          <w:lang w:val="en-US" w:eastAsia="zh-CN" w:bidi="zh-CN"/>
        </w:rPr>
        <w:t>（2</w:t>
      </w:r>
      <w:r>
        <w:rPr>
          <w:rFonts w:hint="default" w:ascii="Times New Roman" w:hAnsi="Times New Roman" w:eastAsia="宋体" w:cs="Times New Roman"/>
          <w:kern w:val="1"/>
          <w:sz w:val="24"/>
          <w:szCs w:val="24"/>
          <w:highlight w:val="none"/>
          <w:lang w:val="en-US" w:eastAsia="zh-CN" w:bidi="zh-CN"/>
        </w:rPr>
        <w:t>）</w:t>
      </w:r>
      <w:r>
        <w:rPr>
          <w:rFonts w:hint="eastAsia" w:ascii="Times New Roman" w:hAnsi="Times New Roman" w:eastAsia="宋体" w:cs="Times New Roman"/>
          <w:kern w:val="1"/>
          <w:sz w:val="24"/>
          <w:szCs w:val="24"/>
          <w:highlight w:val="none"/>
          <w:lang w:val="en-US" w:eastAsia="zh-CN" w:bidi="zh-CN"/>
        </w:rPr>
        <w:t>推荐品牌：上海熊猫、上海威派格、上海国泰、上海连成、南方、凯泉等一线及以上品牌。本条款所列推荐品牌仅为方便采购人直观理解技术标准、质量档次而提供的参考示例，不构成对供应商的强制品牌限定，不排斥同等技术性能、同等质量档次的其他品牌产品参与响应。供应商可选择与所列品牌技术参数、质量标准相当的其他品牌产品，其产品性能、质量需满足本询比文件的全部技术要求，并承担相应的产品质量责任。采购人不对推荐品牌的产品质量、售后服务等承担任何担保责任。</w:t>
      </w:r>
    </w:p>
    <w:p w14:paraId="0113EC2D">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eastAsia" w:ascii="Times New Roman" w:hAnsi="Times New Roman" w:eastAsia="宋体" w:cs="Times New Roman"/>
          <w:kern w:val="1"/>
          <w:sz w:val="24"/>
          <w:szCs w:val="24"/>
          <w:highlight w:val="none"/>
          <w:lang w:val="en-US" w:eastAsia="zh-CN" w:bidi="zh-CN"/>
        </w:rPr>
        <w:t>（3</w:t>
      </w:r>
      <w:r>
        <w:rPr>
          <w:rFonts w:hint="default" w:ascii="Times New Roman" w:hAnsi="Times New Roman" w:eastAsia="宋体" w:cs="Times New Roman"/>
          <w:kern w:val="1"/>
          <w:sz w:val="24"/>
          <w:szCs w:val="24"/>
          <w:highlight w:val="none"/>
          <w:lang w:val="en-US" w:eastAsia="zh-CN" w:bidi="zh-CN"/>
        </w:rPr>
        <w:t>）材质及加工工艺：水泵腔体、叶轮、外筒等主要过水部件采用食品级304（06Cr19Ni10）不锈钢材质、水泵进出口法兰采用食品级不锈钢材质或经过不低于电泳处理的球墨铸铁、轴采用食品级不锈钢316（国标）材质。水泵进、出水接口采用圆形法兰连接。水泵叶轮采用激光一次性整体焊接。</w:t>
      </w:r>
    </w:p>
    <w:p w14:paraId="4EDB7966">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w:t>
      </w:r>
      <w:r>
        <w:rPr>
          <w:rFonts w:hint="eastAsia" w:ascii="Times New Roman" w:hAnsi="Times New Roman" w:eastAsia="宋体" w:cs="Times New Roman"/>
          <w:kern w:val="1"/>
          <w:sz w:val="24"/>
          <w:szCs w:val="24"/>
          <w:highlight w:val="none"/>
          <w:lang w:val="en-US" w:eastAsia="zh-CN" w:bidi="zh-CN"/>
        </w:rPr>
        <w:t>4</w:t>
      </w:r>
      <w:r>
        <w:rPr>
          <w:rFonts w:hint="default" w:ascii="Times New Roman" w:hAnsi="Times New Roman" w:eastAsia="宋体" w:cs="Times New Roman"/>
          <w:kern w:val="1"/>
          <w:sz w:val="24"/>
          <w:szCs w:val="24"/>
          <w:highlight w:val="none"/>
          <w:lang w:val="en-US" w:eastAsia="zh-CN" w:bidi="zh-CN"/>
        </w:rPr>
        <w:t>）成套设备基座采用不低于热浸镀锌、涂塑等防腐措施，且必须符合国家相关标准。成套设备基座与水泵铸造基板物理隔离。成套设备使用的螺栓、螺钉和螺母等紧固件应采用不锈钢材质。</w:t>
      </w:r>
    </w:p>
    <w:p w14:paraId="290FB2B9">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w:t>
      </w:r>
      <w:r>
        <w:rPr>
          <w:rFonts w:hint="eastAsia" w:ascii="Times New Roman" w:hAnsi="Times New Roman" w:eastAsia="宋体" w:cs="Times New Roman"/>
          <w:kern w:val="1"/>
          <w:sz w:val="24"/>
          <w:szCs w:val="24"/>
          <w:highlight w:val="none"/>
          <w:lang w:val="en-US" w:eastAsia="zh-CN" w:bidi="zh-CN"/>
        </w:rPr>
        <w:t>5</w:t>
      </w:r>
      <w:r>
        <w:rPr>
          <w:rFonts w:hint="default" w:ascii="Times New Roman" w:hAnsi="Times New Roman" w:eastAsia="宋体" w:cs="Times New Roman"/>
          <w:kern w:val="1"/>
          <w:sz w:val="24"/>
          <w:szCs w:val="24"/>
          <w:highlight w:val="none"/>
          <w:lang w:val="en-US" w:eastAsia="zh-CN" w:bidi="zh-CN"/>
        </w:rPr>
        <w:t xml:space="preserve">）泵体上所有螺栓（包含螺栓、螺母及垫片）均采用不低于不锈钢件 SUS304。 </w:t>
      </w:r>
    </w:p>
    <w:p w14:paraId="3D916070">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w:t>
      </w:r>
      <w:r>
        <w:rPr>
          <w:rFonts w:hint="eastAsia" w:ascii="Times New Roman" w:hAnsi="Times New Roman" w:eastAsia="宋体" w:cs="Times New Roman"/>
          <w:kern w:val="1"/>
          <w:sz w:val="24"/>
          <w:szCs w:val="24"/>
          <w:highlight w:val="none"/>
          <w:lang w:val="en-US" w:eastAsia="zh-CN" w:bidi="zh-CN"/>
        </w:rPr>
        <w:t>6</w:t>
      </w:r>
      <w:r>
        <w:rPr>
          <w:rFonts w:hint="default" w:ascii="Times New Roman" w:hAnsi="Times New Roman" w:eastAsia="宋体" w:cs="Times New Roman"/>
          <w:kern w:val="1"/>
          <w:sz w:val="24"/>
          <w:szCs w:val="24"/>
          <w:highlight w:val="none"/>
          <w:lang w:val="en-US" w:eastAsia="zh-CN" w:bidi="zh-CN"/>
        </w:rPr>
        <w:t>）电动机通过联轴器与水泵泵轴连接传送动力，泵轴与泵头间采用集装式免维护机械轴封，保证不泄漏，对轴无磨损。机械密封的基本额定寿命不小于10000小时。轴封的最大温度范围为－30℃～＋120℃。</w:t>
      </w:r>
    </w:p>
    <w:p w14:paraId="5B1099F0">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w:t>
      </w:r>
      <w:r>
        <w:rPr>
          <w:rFonts w:hint="eastAsia" w:ascii="Times New Roman" w:hAnsi="Times New Roman" w:eastAsia="宋体" w:cs="Times New Roman"/>
          <w:kern w:val="1"/>
          <w:sz w:val="24"/>
          <w:szCs w:val="24"/>
          <w:highlight w:val="none"/>
          <w:lang w:val="en-US" w:eastAsia="zh-CN" w:bidi="zh-CN"/>
        </w:rPr>
        <w:t>7</w:t>
      </w:r>
      <w:r>
        <w:rPr>
          <w:rFonts w:hint="default" w:ascii="Times New Roman" w:hAnsi="Times New Roman" w:eastAsia="宋体" w:cs="Times New Roman"/>
          <w:kern w:val="1"/>
          <w:sz w:val="24"/>
          <w:szCs w:val="24"/>
          <w:highlight w:val="none"/>
          <w:lang w:val="en-US" w:eastAsia="zh-CN" w:bidi="zh-CN"/>
        </w:rPr>
        <w:t>）泵应运行在最高效率点附近。在不超过铭牌的电负荷率的情况，电动机可为各自的泵所需的最高功率范围提供充足动力。每台泵都须进行整机测试。变频泵配套供应控制系统及传感元件。泵的外表面应仔细清除铁锈和油污，上底漆和面漆。上漆应均匀，不应有裂纹、脱皮、气泡、淤积等缺陷，露在外部的加工表面应进行防锈处理。 </w:t>
      </w:r>
    </w:p>
    <w:p w14:paraId="483F8EC0">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w:t>
      </w:r>
      <w:r>
        <w:rPr>
          <w:rFonts w:hint="eastAsia" w:ascii="Times New Roman" w:hAnsi="Times New Roman" w:eastAsia="宋体" w:cs="Times New Roman"/>
          <w:kern w:val="1"/>
          <w:sz w:val="24"/>
          <w:szCs w:val="24"/>
          <w:highlight w:val="none"/>
          <w:lang w:val="en-US" w:eastAsia="zh-CN" w:bidi="zh-CN"/>
        </w:rPr>
        <w:t>8</w:t>
      </w:r>
      <w:r>
        <w:rPr>
          <w:rFonts w:hint="default" w:ascii="Times New Roman" w:hAnsi="Times New Roman" w:eastAsia="宋体" w:cs="Times New Roman"/>
          <w:kern w:val="1"/>
          <w:sz w:val="24"/>
          <w:szCs w:val="24"/>
          <w:highlight w:val="none"/>
          <w:lang w:val="en-US" w:eastAsia="zh-CN" w:bidi="zh-CN"/>
        </w:rPr>
        <w:t>）</w:t>
      </w:r>
      <w:r>
        <w:rPr>
          <w:rFonts w:hint="eastAsia" w:ascii="Times New Roman" w:hAnsi="Times New Roman" w:eastAsia="宋体" w:cs="Times New Roman"/>
          <w:kern w:val="1"/>
          <w:sz w:val="24"/>
          <w:szCs w:val="24"/>
          <w:highlight w:val="none"/>
          <w:lang w:val="en-US" w:eastAsia="zh-CN" w:bidi="zh-CN"/>
        </w:rPr>
        <w:t>设备</w:t>
      </w:r>
      <w:r>
        <w:rPr>
          <w:rFonts w:hint="default" w:ascii="Times New Roman" w:hAnsi="Times New Roman" w:eastAsia="宋体" w:cs="Times New Roman"/>
          <w:kern w:val="1"/>
          <w:sz w:val="24"/>
          <w:szCs w:val="24"/>
          <w:highlight w:val="none"/>
          <w:lang w:val="en-US" w:eastAsia="zh-CN" w:bidi="zh-CN"/>
        </w:rPr>
        <w:t>整机寿命：＞20年。</w:t>
      </w:r>
    </w:p>
    <w:p w14:paraId="67031B52">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w:t>
      </w:r>
      <w:r>
        <w:rPr>
          <w:rFonts w:hint="eastAsia" w:ascii="Times New Roman" w:hAnsi="Times New Roman" w:eastAsia="宋体" w:cs="Times New Roman"/>
          <w:kern w:val="1"/>
          <w:sz w:val="24"/>
          <w:szCs w:val="24"/>
          <w:highlight w:val="none"/>
          <w:lang w:val="en-US" w:eastAsia="zh-CN" w:bidi="zh-CN"/>
        </w:rPr>
        <w:t>9</w:t>
      </w:r>
      <w:r>
        <w:rPr>
          <w:rFonts w:hint="default" w:ascii="Times New Roman" w:hAnsi="Times New Roman" w:eastAsia="宋体" w:cs="Times New Roman"/>
          <w:kern w:val="1"/>
          <w:sz w:val="24"/>
          <w:szCs w:val="24"/>
          <w:highlight w:val="none"/>
          <w:lang w:val="en-US" w:eastAsia="zh-CN" w:bidi="zh-CN"/>
        </w:rPr>
        <w:t>）整机制造，装配完毕必须进行试验台试验，包括运转、性能、气蚀、振动、噪音等试验，并应符合有关标准规定。</w:t>
      </w:r>
    </w:p>
    <w:p w14:paraId="36F59CF8">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eastAsia" w:ascii="Times New Roman" w:hAnsi="Times New Roman" w:eastAsia="宋体" w:cs="Times New Roman"/>
          <w:kern w:val="1"/>
          <w:sz w:val="24"/>
          <w:szCs w:val="24"/>
          <w:highlight w:val="none"/>
          <w:lang w:val="en-US" w:eastAsia="zh-CN" w:bidi="zh-CN"/>
        </w:rPr>
        <w:t>4</w:t>
      </w:r>
      <w:r>
        <w:rPr>
          <w:rFonts w:hint="default" w:ascii="Times New Roman" w:hAnsi="Times New Roman" w:eastAsia="宋体" w:cs="Times New Roman"/>
          <w:kern w:val="1"/>
          <w:sz w:val="24"/>
          <w:szCs w:val="24"/>
          <w:highlight w:val="none"/>
          <w:lang w:val="en-US" w:eastAsia="zh-CN" w:bidi="zh-CN"/>
        </w:rPr>
        <w:t>、配套电机</w:t>
      </w:r>
    </w:p>
    <w:p w14:paraId="20F36516">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1）水泵电动机能效不低于现行标准《中小型三相异步电动机能效限定值及节能评价值》 GB18613-2020中二级要求。</w:t>
      </w:r>
    </w:p>
    <w:p w14:paraId="078EC28E">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2）电源：380V, 50HZ</w:t>
      </w:r>
    </w:p>
    <w:p w14:paraId="35B44329">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防护等级：IP55</w:t>
      </w:r>
    </w:p>
    <w:p w14:paraId="288E3E16">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绝缘等级：F</w:t>
      </w:r>
    </w:p>
    <w:p w14:paraId="0F907D85">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3）电机工艺要求：</w:t>
      </w:r>
    </w:p>
    <w:p w14:paraId="31FC5BE3">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（1）电机外壳及上端盖：外表面进行抛丸亚光，电机采用的铸铁材料需要电覆处理，形成致密的金属保护膜，防止被氧化、防止生锈。</w:t>
      </w:r>
    </w:p>
    <w:p w14:paraId="2BD5F3C7">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（2）电机与动力线连接的连接片：应采用导电性能和抗氧化性能均高于黄铜的金属处理工艺，防止铜件在空气中氧化。</w:t>
      </w:r>
    </w:p>
    <w:p w14:paraId="7BC3C8AD">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4)电机绕组应是由绝缘铜线绕制的真空压力油浸线圈，绝缘等将达到F级，绕组温升等级将被限制在B级，最大工作温度可达155℃。</w:t>
      </w:r>
    </w:p>
    <w:p w14:paraId="591851EC">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5）电机能在频率为30-50HZ，电压在正常额定电压下波动±5％的变化中连续运转。</w:t>
      </w:r>
    </w:p>
    <w:p w14:paraId="57BE5C4D">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6）当频率正常而电压为0.8Ue 时, 电机和接触器能继续运行5分钟而不产生有害过热，且能在相间电压产生2%的不平衡电压情况下继续运行。</w:t>
      </w:r>
    </w:p>
    <w:p w14:paraId="07FCA17B">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7）在保证电机从最小到最大负荷变化条件下的功率因数不低于0.86 。</w:t>
      </w:r>
    </w:p>
    <w:p w14:paraId="3F85CF05">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8）要求电机在额定工况下连续运行的平均寿命不小于10年。</w:t>
      </w:r>
    </w:p>
    <w:p w14:paraId="0C17B6F9">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eastAsia" w:ascii="Times New Roman" w:hAnsi="Times New Roman" w:eastAsia="宋体" w:cs="Times New Roman"/>
          <w:kern w:val="1"/>
          <w:sz w:val="24"/>
          <w:szCs w:val="24"/>
          <w:highlight w:val="none"/>
          <w:lang w:val="en-US" w:eastAsia="zh-CN" w:bidi="zh-CN"/>
        </w:rPr>
        <w:t>5</w:t>
      </w:r>
      <w:r>
        <w:rPr>
          <w:rFonts w:hint="default" w:ascii="Times New Roman" w:hAnsi="Times New Roman" w:eastAsia="宋体" w:cs="Times New Roman"/>
          <w:kern w:val="1"/>
          <w:sz w:val="24"/>
          <w:szCs w:val="24"/>
          <w:highlight w:val="none"/>
          <w:lang w:val="en-US" w:eastAsia="zh-CN" w:bidi="zh-CN"/>
        </w:rPr>
        <w:t>、电机轴承采用原厂原装精密密封式轴承，具备低噪音、长寿命运行特性，采用长效润滑脂全封闭结构，运行周期内免注油、免维护，无需日常润滑保养，轴承性能与可靠性应满足设备长期连续稳定运行要求。</w:t>
      </w:r>
    </w:p>
    <w:p w14:paraId="3705FC2F">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eastAsia" w:ascii="Times New Roman" w:hAnsi="Times New Roman" w:eastAsia="宋体" w:cs="Times New Roman"/>
          <w:kern w:val="1"/>
          <w:sz w:val="24"/>
          <w:szCs w:val="24"/>
          <w:highlight w:val="none"/>
          <w:lang w:val="en-US" w:eastAsia="zh-CN" w:bidi="zh-CN"/>
        </w:rPr>
        <w:t>6</w:t>
      </w:r>
      <w:r>
        <w:rPr>
          <w:rFonts w:hint="default" w:ascii="Times New Roman" w:hAnsi="Times New Roman" w:eastAsia="宋体" w:cs="Times New Roman"/>
          <w:kern w:val="1"/>
          <w:sz w:val="24"/>
          <w:szCs w:val="24"/>
          <w:highlight w:val="none"/>
          <w:lang w:val="en-US" w:eastAsia="zh-CN" w:bidi="zh-CN"/>
        </w:rPr>
        <w:t>、电机连接片采用优质黄铜材质，应采取一定处理工艺，防止铜件在空气中氧化生锈的现象。严禁使用劣质黄铜或铁质材料。</w:t>
      </w:r>
    </w:p>
    <w:p w14:paraId="76B42316">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嵌入的定子漆包线圈无交叉，错乱现象，定子两端线圈均匀对称，绑扎线圈应牢固、均匀、美观。采用不低于F级的优质绝缘特种漆包线，极限工作温度150℃以上。</w:t>
      </w:r>
    </w:p>
    <w:p w14:paraId="5E8ED30D">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eastAsia" w:ascii="Times New Roman" w:hAnsi="Times New Roman" w:eastAsia="宋体" w:cs="Times New Roman"/>
          <w:kern w:val="1"/>
          <w:sz w:val="24"/>
          <w:szCs w:val="24"/>
          <w:highlight w:val="none"/>
          <w:lang w:val="en-US" w:eastAsia="zh-CN" w:bidi="zh-CN"/>
        </w:rPr>
      </w:pPr>
      <w:bookmarkStart w:id="257" w:name="_Toc466269547"/>
      <w:bookmarkEnd w:id="257"/>
      <w:r>
        <w:rPr>
          <w:rFonts w:hint="eastAsia" w:ascii="Times New Roman" w:hAnsi="Times New Roman" w:eastAsia="宋体" w:cs="Times New Roman"/>
          <w:kern w:val="1"/>
          <w:sz w:val="24"/>
          <w:szCs w:val="24"/>
          <w:highlight w:val="none"/>
          <w:lang w:val="en-US" w:eastAsia="zh-CN" w:bidi="zh-CN"/>
        </w:rPr>
        <w:t>7、管件、法兰、阀门</w:t>
      </w:r>
    </w:p>
    <w:p w14:paraId="23DE4D59">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（1）设备所用管件应采用无缝管件，并符合GB/T12459的规定，管件尺寸应与管道相匹配，管道最低厚度不得小于3mm。管件的公称压力或最大允许工作压力不应小于其最高工作压力。</w:t>
      </w:r>
    </w:p>
    <w:p w14:paraId="57C1F695">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（2）各种连接法兰</w:t>
      </w:r>
      <w:r>
        <w:rPr>
          <w:rFonts w:hint="eastAsia" w:ascii="Times New Roman" w:hAnsi="Times New Roman" w:eastAsia="宋体" w:cs="Times New Roman"/>
          <w:kern w:val="1"/>
          <w:sz w:val="24"/>
          <w:szCs w:val="24"/>
          <w:highlight w:val="none"/>
          <w:lang w:val="en-US" w:eastAsia="zh-CN" w:bidi="zh-CN"/>
        </w:rPr>
        <w:t>或卡箍</w:t>
      </w:r>
      <w:r>
        <w:rPr>
          <w:rFonts w:hint="default" w:ascii="Times New Roman" w:hAnsi="Times New Roman" w:eastAsia="宋体" w:cs="Times New Roman"/>
          <w:kern w:val="1"/>
          <w:sz w:val="24"/>
          <w:szCs w:val="24"/>
          <w:highlight w:val="none"/>
          <w:lang w:val="en-US" w:eastAsia="zh-CN" w:bidi="zh-CN"/>
        </w:rPr>
        <w:t>的型式、材质、公称压力、尺寸、标记应符合GB/T9119、GB/T9123.1的规定，还应与配用的管道、连接件相配合。</w:t>
      </w:r>
    </w:p>
    <w:p w14:paraId="05C18C71">
      <w:pPr>
        <w:keepNext w:val="0"/>
        <w:keepLines w:val="0"/>
        <w:pageBreakBefore w:val="0"/>
        <w:widowControl/>
        <w:kinsoku/>
        <w:wordWrap/>
        <w:overflowPunct/>
        <w:topLinePunct w:val="0"/>
        <w:autoSpaceDE/>
        <w:autoSpaceDN/>
        <w:bidi w:val="0"/>
        <w:adjustRightInd/>
        <w:snapToGrid/>
        <w:spacing w:line="500" w:lineRule="exact"/>
        <w:ind w:firstLine="480"/>
        <w:textAlignment w:val="auto"/>
        <w:rPr>
          <w:rFonts w:hint="default" w:ascii="Times New Roman" w:hAnsi="Times New Roman" w:eastAsia="宋体" w:cs="Times New Roman"/>
          <w:kern w:val="1"/>
          <w:sz w:val="24"/>
          <w:szCs w:val="24"/>
          <w:highlight w:val="none"/>
          <w:lang w:val="en-US" w:eastAsia="zh-CN" w:bidi="zh-CN"/>
        </w:rPr>
      </w:pPr>
      <w:r>
        <w:rPr>
          <w:rFonts w:hint="default" w:ascii="Times New Roman" w:hAnsi="Times New Roman" w:eastAsia="宋体" w:cs="Times New Roman"/>
          <w:kern w:val="1"/>
          <w:sz w:val="24"/>
          <w:szCs w:val="24"/>
          <w:highlight w:val="none"/>
          <w:lang w:val="en-US" w:eastAsia="zh-CN" w:bidi="zh-CN"/>
        </w:rPr>
        <w:t>（3）</w:t>
      </w:r>
      <w:r>
        <w:rPr>
          <w:rFonts w:hint="eastAsia" w:ascii="Times New Roman" w:hAnsi="Times New Roman" w:eastAsia="宋体" w:cs="Times New Roman"/>
          <w:kern w:val="1"/>
          <w:sz w:val="24"/>
          <w:szCs w:val="24"/>
          <w:highlight w:val="none"/>
          <w:lang w:val="en-US" w:eastAsia="zh-CN" w:bidi="zh-CN"/>
        </w:rPr>
        <w:t>水泵房内</w:t>
      </w:r>
      <w:r>
        <w:rPr>
          <w:rFonts w:hint="default" w:ascii="Times New Roman" w:hAnsi="Times New Roman" w:eastAsia="宋体" w:cs="Times New Roman"/>
          <w:kern w:val="1"/>
          <w:sz w:val="24"/>
          <w:szCs w:val="24"/>
          <w:highlight w:val="none"/>
          <w:lang w:val="en-US" w:eastAsia="zh-CN" w:bidi="zh-CN"/>
        </w:rPr>
        <w:t>管道</w:t>
      </w:r>
      <w:r>
        <w:rPr>
          <w:rFonts w:hint="eastAsia" w:ascii="Times New Roman" w:hAnsi="Times New Roman" w:eastAsia="宋体" w:cs="Times New Roman"/>
          <w:kern w:val="1"/>
          <w:sz w:val="24"/>
          <w:szCs w:val="24"/>
          <w:highlight w:val="none"/>
          <w:lang w:val="en-US" w:eastAsia="zh-CN" w:bidi="zh-CN"/>
        </w:rPr>
        <w:t>应使用镀锌钢塑复合管材质</w:t>
      </w:r>
      <w:r>
        <w:rPr>
          <w:rFonts w:hint="default" w:ascii="Times New Roman" w:hAnsi="Times New Roman" w:eastAsia="宋体" w:cs="Times New Roman"/>
          <w:kern w:val="1"/>
          <w:sz w:val="24"/>
          <w:szCs w:val="24"/>
          <w:highlight w:val="none"/>
          <w:lang w:val="en-US" w:eastAsia="zh-CN" w:bidi="zh-CN"/>
        </w:rPr>
        <w:t>。</w:t>
      </w:r>
    </w:p>
    <w:p w14:paraId="290FB541">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仿宋_GB2312" w:hAnsi="@仿宋_GB2312" w:eastAsia="@仿宋_GB2312" w:cs="@仿宋_GB2312"/>
          <w:szCs w:val="20"/>
        </w:rPr>
      </w:pPr>
      <w:r>
        <w:rPr>
          <w:rFonts w:hint="eastAsia" w:ascii="Times New Roman" w:hAnsi="Times New Roman" w:eastAsia="宋体" w:cs="Times New Roman"/>
          <w:kern w:val="1"/>
          <w:sz w:val="24"/>
          <w:szCs w:val="24"/>
          <w:highlight w:val="none"/>
          <w:lang w:val="en-US" w:eastAsia="zh-CN" w:bidi="zh-CN"/>
        </w:rPr>
        <w:t>（4）必须使用符合生活饮用水标准的管道及配件。</w:t>
      </w:r>
    </w:p>
    <w:p w14:paraId="6ADD98C3">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宋体" w:hAnsi="宋体" w:eastAsia="宋体" w:cs="宋体"/>
          <w:sz w:val="24"/>
          <w:lang w:val="en-US" w:eastAsia="zh-CN"/>
        </w:rPr>
      </w:pPr>
    </w:p>
    <w:p w14:paraId="180FAF2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default" w:ascii="宋体" w:hAnsi="宋体" w:eastAsia="宋体" w:cs="宋体"/>
          <w:sz w:val="24"/>
          <w:lang w:val="en-US" w:eastAsia="zh-CN"/>
        </w:rPr>
      </w:pPr>
      <w:r>
        <w:rPr>
          <w:rFonts w:hint="eastAsia" w:ascii="宋体" w:hAnsi="宋体" w:eastAsia="宋体" w:cs="宋体"/>
          <w:color w:val="FF0000"/>
          <w:sz w:val="24"/>
          <w:lang w:val="en-US" w:eastAsia="zh-CN"/>
        </w:rPr>
        <w:t>图纸详见附件。</w:t>
      </w:r>
    </w:p>
    <w:p w14:paraId="589A15F9">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textAlignment w:val="auto"/>
        <w:rPr>
          <w:rFonts w:hint="eastAsia"/>
          <w:sz w:val="24"/>
        </w:rPr>
      </w:pPr>
    </w:p>
    <w:bookmarkEnd w:id="233"/>
    <w:bookmarkEnd w:id="234"/>
    <w:bookmarkEnd w:id="235"/>
    <w:bookmarkEnd w:id="236"/>
    <w:bookmarkEnd w:id="237"/>
    <w:bookmarkEnd w:id="238"/>
    <w:bookmarkEnd w:id="239"/>
    <w:bookmarkEnd w:id="240"/>
    <w:p w14:paraId="762DFFC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Arial Unicode MS" w:cs="Times New Roman"/>
          <w:kern w:val="0"/>
          <w:sz w:val="84"/>
          <w:szCs w:val="84"/>
          <w:highlight w:val="none"/>
          <w:lang w:val="en-US" w:eastAsia="zh-CN"/>
        </w:rPr>
      </w:pPr>
      <w:r>
        <w:rPr>
          <w:rFonts w:hint="eastAsia" w:ascii="Times New Roman" w:hAnsi="Times New Roman" w:eastAsia="Arial Unicode MS"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kern w:val="0"/>
          <w:sz w:val="84"/>
          <w:szCs w:val="84"/>
          <w:highlight w:val="none"/>
          <w:lang w:val="en-US" w:eastAsia="zh-CN"/>
        </w:rPr>
      </w:pPr>
      <w:r>
        <w:rPr>
          <w:rFonts w:hint="eastAsia" w:ascii="Times New Roman" w:hAnsi="Times New Roman" w:eastAsia="Arial Unicode MS"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kern w:val="0"/>
          <w:sz w:val="84"/>
          <w:szCs w:val="84"/>
          <w:highlight w:val="none"/>
          <w:lang w:val="en-US" w:eastAsia="zh-CN"/>
        </w:rPr>
      </w:pPr>
      <w:r>
        <w:rPr>
          <w:rFonts w:hint="default" w:ascii="Times New Roman" w:hAnsi="Times New Roman" w:eastAsia="Arial Unicode MS"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kern w:val="0"/>
          <w:sz w:val="84"/>
          <w:szCs w:val="84"/>
          <w:highlight w:val="none"/>
          <w:lang w:val="en-US" w:eastAsia="zh-CN"/>
        </w:rPr>
      </w:pPr>
      <w:r>
        <w:rPr>
          <w:rFonts w:hint="default" w:ascii="Times New Roman" w:hAnsi="Times New Roman" w:eastAsia="Arial Unicode MS"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4"/>
        <w:jc w:val="center"/>
        <w:rPr>
          <w:rFonts w:hint="default" w:ascii="Times New Roman" w:hAnsi="Times New Roman" w:cs="Times New Roman"/>
        </w:rPr>
      </w:pPr>
      <w:bookmarkStart w:id="258" w:name="_Toc300835209"/>
      <w:bookmarkStart w:id="259" w:name="_Toc144974856"/>
      <w:bookmarkStart w:id="260" w:name="_Toc247527827"/>
      <w:bookmarkStart w:id="261" w:name="_Toc152045787"/>
      <w:bookmarkStart w:id="262" w:name="_Toc247514246"/>
      <w:bookmarkStart w:id="263" w:name="_Toc152042576"/>
      <w:r>
        <w:rPr>
          <w:rFonts w:hint="default" w:ascii="Times New Roman" w:hAnsi="Times New Roman" w:cs="Times New Roman"/>
        </w:rPr>
        <w:t>目    录</w:t>
      </w:r>
      <w:bookmarkEnd w:id="258"/>
      <w:bookmarkEnd w:id="259"/>
      <w:bookmarkEnd w:id="260"/>
      <w:bookmarkEnd w:id="261"/>
      <w:bookmarkEnd w:id="262"/>
      <w:bookmarkEnd w:id="263"/>
    </w:p>
    <w:p w14:paraId="187E6D0F">
      <w:pPr>
        <w:spacing w:line="540" w:lineRule="exact"/>
        <w:rPr>
          <w:rFonts w:hint="default" w:ascii="Times New Roman" w:hAnsi="Times New Roman" w:cs="Times New Roman"/>
        </w:rPr>
      </w:pP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承诺书</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4"/>
        <w:jc w:val="center"/>
        <w:rPr>
          <w:rFonts w:hint="default" w:ascii="Times New Roman" w:hAnsi="Times New Roman" w:eastAsia="黑体" w:cs="Times New Roman"/>
          <w:sz w:val="20"/>
          <w:szCs w:val="20"/>
        </w:rPr>
      </w:pPr>
      <w:bookmarkStart w:id="264" w:name="_Toc247514247"/>
      <w:bookmarkStart w:id="265" w:name="_Toc152042577"/>
      <w:bookmarkStart w:id="266" w:name="_Toc144974857"/>
      <w:bookmarkStart w:id="267" w:name="_Toc300835210"/>
      <w:bookmarkStart w:id="268" w:name="_Toc247527828"/>
      <w:bookmarkStart w:id="269" w:name="_Toc15204578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4"/>
      <w:bookmarkEnd w:id="265"/>
      <w:bookmarkEnd w:id="266"/>
      <w:bookmarkEnd w:id="267"/>
      <w:bookmarkEnd w:id="268"/>
      <w:bookmarkEnd w:id="269"/>
    </w:p>
    <w:p w14:paraId="55072827">
      <w:pPr>
        <w:spacing w:line="440" w:lineRule="exact"/>
        <w:rPr>
          <w:rFonts w:hint="default" w:ascii="Times New Roman" w:hAnsi="Times New Roman" w:cs="Times New Roman"/>
          <w:szCs w:val="21"/>
        </w:rPr>
      </w:pPr>
      <w:bookmarkStart w:id="270" w:name="_Toc152045790"/>
      <w:bookmarkStart w:id="271" w:name="_Toc300835212"/>
      <w:bookmarkStart w:id="272" w:name="_Toc247527830"/>
      <w:bookmarkStart w:id="273" w:name="_Toc152042579"/>
      <w:bookmarkStart w:id="274" w:name="_Toc247514249"/>
      <w:bookmarkStart w:id="275" w:name="_Toc144974859"/>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69" w:edGrp="everyone"/>
      <w:r>
        <w:rPr>
          <w:rFonts w:hint="eastAsia" w:ascii="Times New Roman" w:hAnsi="Times New Roman" w:cs="Times New Roman"/>
          <w:szCs w:val="21"/>
          <w:lang w:val="en-US" w:eastAsia="zh-CN"/>
        </w:rPr>
        <w:t>含税人民币：总价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小写）（其中，增值税税率为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69"/>
      <w:r>
        <w:rPr>
          <w:rFonts w:hint="eastAsia" w:ascii="Times New Roman" w:hAnsi="Times New Roman" w:cs="Times New Roman"/>
          <w:szCs w:val="21"/>
          <w:lang w:val="en-US" w:eastAsia="zh-CN"/>
        </w:rPr>
        <w:t>，计划工期：</w:t>
      </w:r>
      <w:permStart w:id="70" w:edGrp="everyone"/>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自采购人发出订单通知之起30日历天内将当期货物送至现场，当期货物送达现场后45日历天内完成安装作业。</w:t>
      </w:r>
      <w:permEnd w:id="70"/>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70"/>
    <w:bookmarkEnd w:id="271"/>
    <w:bookmarkEnd w:id="272"/>
    <w:bookmarkEnd w:id="273"/>
    <w:bookmarkEnd w:id="274"/>
    <w:bookmarkEnd w:id="275"/>
    <w:p w14:paraId="5CB70B30">
      <w:pPr>
        <w:pStyle w:val="4"/>
        <w:jc w:val="both"/>
        <w:rPr>
          <w:rFonts w:hint="default" w:ascii="Times New Roman" w:hAnsi="Times New Roman" w:cs="Times New Roman"/>
        </w:rPr>
      </w:pPr>
      <w:bookmarkStart w:id="276" w:name="_Toc247527831"/>
      <w:bookmarkStart w:id="277" w:name="_Toc144974860"/>
      <w:bookmarkStart w:id="278" w:name="_Toc300835213"/>
      <w:bookmarkStart w:id="279" w:name="_Toc152042580"/>
      <w:bookmarkStart w:id="280" w:name="_Toc152045791"/>
      <w:bookmarkStart w:id="281" w:name="_Toc247514283"/>
    </w:p>
    <w:p w14:paraId="352DF75A">
      <w:pPr>
        <w:rPr>
          <w:rFonts w:hint="default"/>
        </w:rPr>
      </w:pPr>
    </w:p>
    <w:p w14:paraId="37F9C44E">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76"/>
      <w:bookmarkEnd w:id="277"/>
      <w:bookmarkEnd w:id="278"/>
      <w:bookmarkEnd w:id="279"/>
      <w:bookmarkEnd w:id="280"/>
      <w:bookmarkEnd w:id="281"/>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2" w:name="_Toc247527832"/>
      <w:bookmarkStart w:id="283" w:name="_Toc144974861"/>
      <w:bookmarkStart w:id="284" w:name="_Toc247514284"/>
      <w:bookmarkStart w:id="285" w:name="_Toc152042581"/>
      <w:bookmarkStart w:id="286" w:name="_Toc152045792"/>
      <w:bookmarkStart w:id="287"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82"/>
      <w:bookmarkEnd w:id="283"/>
      <w:bookmarkEnd w:id="284"/>
      <w:bookmarkEnd w:id="285"/>
      <w:bookmarkEnd w:id="286"/>
      <w:bookmarkEnd w:id="287"/>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88" w:name="_Toc152042583"/>
      <w:bookmarkStart w:id="289" w:name="_Toc152045794"/>
      <w:bookmarkStart w:id="290" w:name="_Toc247514286"/>
      <w:bookmarkStart w:id="291" w:name="_Toc144974862"/>
      <w:bookmarkStart w:id="292" w:name="_Toc300835216"/>
      <w:bookmarkStart w:id="293" w:name="_Toc247527834"/>
      <w:r>
        <w:rPr>
          <w:rFonts w:hint="eastAsia" w:ascii="Times New Roman" w:hAnsi="Times New Roman" w:cs="Times New Roman"/>
          <w:szCs w:val="21"/>
          <w:lang w:val="en-US" w:eastAsia="zh-CN"/>
        </w:rPr>
        <w:t>（适用于供应商组成联合体的情况）</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8"/>
      <w:bookmarkEnd w:id="289"/>
      <w:bookmarkEnd w:id="290"/>
      <w:bookmarkEnd w:id="291"/>
      <w:bookmarkEnd w:id="292"/>
      <w:bookmarkEnd w:id="293"/>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4"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4"/>
    <w:p w14:paraId="19A18FFC">
      <w:pPr>
        <w:rPr>
          <w:rFonts w:hint="default" w:ascii="Times New Roman" w:hAnsi="Times New Roman" w:cs="Times New Roman"/>
        </w:rPr>
      </w:pPr>
      <w:bookmarkStart w:id="295" w:name="_Toc152045795"/>
      <w:bookmarkStart w:id="296" w:name="_Toc247514287"/>
      <w:bookmarkStart w:id="297" w:name="_Toc300835218"/>
      <w:bookmarkStart w:id="298" w:name="_Toc152042584"/>
      <w:bookmarkStart w:id="299" w:name="_Toc247527835"/>
      <w:bookmarkStart w:id="300" w:name="_Toc144974863"/>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pPr>
    </w:p>
    <w:p w14:paraId="575FD0C8">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8"/>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1144A248">
      <w:pPr>
        <w:pStyle w:val="4"/>
        <w:jc w:val="center"/>
        <w:rPr>
          <w:rFonts w:hint="default" w:ascii="Times New Roman" w:hAnsi="Times New Roman" w:cs="Times New Roman"/>
        </w:rPr>
      </w:pPr>
      <w:r>
        <w:rPr>
          <w:rFonts w:hint="eastAsia" w:ascii="Times New Roman" w:hAnsi="Times New Roman" w:cs="Times New Roman"/>
          <w:lang w:val="en-US" w:eastAsia="zh-CN"/>
        </w:rPr>
        <w:t>七</w:t>
      </w:r>
      <w:r>
        <w:rPr>
          <w:rFonts w:hint="default" w:ascii="Times New Roman" w:hAnsi="Times New Roman" w:cs="Times New Roman"/>
        </w:rPr>
        <w:t>、</w:t>
      </w:r>
      <w:bookmarkEnd w:id="295"/>
      <w:bookmarkEnd w:id="296"/>
      <w:bookmarkEnd w:id="297"/>
      <w:bookmarkEnd w:id="298"/>
      <w:bookmarkEnd w:id="299"/>
      <w:bookmarkEnd w:id="300"/>
      <w:r>
        <w:rPr>
          <w:rFonts w:hint="eastAsia" w:ascii="Times New Roman" w:hAnsi="Times New Roman" w:cs="Times New Roman"/>
          <w:lang w:val="en-US" w:eastAsia="zh-CN"/>
        </w:rPr>
        <w:t>报价表</w:t>
      </w:r>
      <w:bookmarkStart w:id="301" w:name="_Toc247514288"/>
      <w:bookmarkStart w:id="302" w:name="_Toc144974864"/>
      <w:bookmarkStart w:id="303" w:name="_Toc300835221"/>
      <w:bookmarkStart w:id="304" w:name="_Toc152042585"/>
      <w:bookmarkStart w:id="305" w:name="_Toc152045796"/>
      <w:bookmarkStart w:id="306" w:name="_Toc247527836"/>
    </w:p>
    <w:p w14:paraId="64F40842">
      <w:pPr>
        <w:ind w:firstLine="1260" w:firstLineChars="600"/>
        <w:rPr>
          <w:rFonts w:hint="default" w:ascii="Times New Roman" w:hAnsi="Times New Roman" w:cs="Times New Roman"/>
        </w:rPr>
      </w:pPr>
      <w:r>
        <w:rPr>
          <w:rFonts w:hint="eastAsia" w:ascii="Times New Roman" w:hAnsi="Times New Roman" w:cs="Times New Roman"/>
          <w:lang w:val="en-US" w:eastAsia="zh-CN"/>
        </w:rPr>
        <w:t>供应商自拟</w:t>
      </w:r>
      <w:r>
        <w:rPr>
          <w:rFonts w:hint="default" w:ascii="Times New Roman" w:hAnsi="Times New Roman" w:cs="Times New Roman"/>
        </w:rPr>
        <w:t>。</w:t>
      </w:r>
    </w:p>
    <w:p w14:paraId="123A4B51">
      <w:pPr>
        <w:rPr>
          <w:rFonts w:hint="default" w:ascii="Times New Roman" w:hAnsi="Times New Roman" w:cs="Times New Roman"/>
        </w:rPr>
      </w:pPr>
      <w:r>
        <w:rPr>
          <w:rFonts w:hint="default" w:ascii="Times New Roman" w:hAnsi="Times New Roman" w:cs="Times New Roman"/>
        </w:rPr>
        <w:br w:type="page"/>
      </w:r>
    </w:p>
    <w:p w14:paraId="577D3DDA">
      <w:pPr>
        <w:pStyle w:val="4"/>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301"/>
      <w:bookmarkEnd w:id="302"/>
      <w:bookmarkEnd w:id="303"/>
      <w:bookmarkEnd w:id="304"/>
      <w:bookmarkEnd w:id="305"/>
      <w:bookmarkEnd w:id="306"/>
      <w:bookmarkStart w:id="307" w:name="_Toc300835223"/>
      <w:r>
        <w:t>资格审查资料</w:t>
      </w:r>
    </w:p>
    <w:p w14:paraId="3DAB7550">
      <w:pPr>
        <w:pStyle w:val="5"/>
        <w:jc w:val="both"/>
        <w:rPr>
          <w:rFonts w:hint="eastAsia"/>
        </w:rPr>
      </w:pPr>
      <w:bookmarkStart w:id="308" w:name="_Toc247085891"/>
      <w:bookmarkStart w:id="309" w:name="_Toc246997116"/>
      <w:bookmarkStart w:id="310" w:name="_Toc179632828"/>
      <w:bookmarkStart w:id="311" w:name="_Toc296602618"/>
      <w:bookmarkStart w:id="312" w:name="_Toc246996373"/>
      <w:r>
        <w:t>（一）</w:t>
      </w:r>
      <w:r>
        <w:rPr>
          <w:rFonts w:hint="eastAsia"/>
          <w:lang w:eastAsia="zh-CN"/>
        </w:rPr>
        <w:t>供应商</w:t>
      </w:r>
      <w:r>
        <w:t>基本情况表</w:t>
      </w:r>
      <w:bookmarkEnd w:id="308"/>
      <w:bookmarkEnd w:id="309"/>
      <w:bookmarkEnd w:id="310"/>
      <w:bookmarkEnd w:id="311"/>
      <w:bookmarkEnd w:id="312"/>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5"/>
        <w:jc w:val="both"/>
      </w:pPr>
      <w:bookmarkStart w:id="313" w:name="_Toc296602615"/>
      <w:bookmarkStart w:id="314" w:name="_Toc246996370"/>
      <w:bookmarkStart w:id="315" w:name="_Toc247085888"/>
      <w:bookmarkStart w:id="316" w:name="_Toc246997113"/>
      <w:bookmarkStart w:id="317" w:name="_Toc247527850"/>
      <w:bookmarkStart w:id="318" w:name="_Toc152042599"/>
      <w:bookmarkStart w:id="319" w:name="_Toc300835226"/>
      <w:bookmarkStart w:id="320" w:name="_Toc144974878"/>
      <w:bookmarkStart w:id="321" w:name="_Toc247514302"/>
      <w:bookmarkStart w:id="322" w:name="_Toc152045810"/>
      <w:r>
        <w:t>（</w:t>
      </w:r>
      <w:r>
        <w:rPr>
          <w:rFonts w:hint="eastAsia"/>
          <w:lang w:val="en-US" w:eastAsia="zh-CN"/>
        </w:rPr>
        <w:t>二</w:t>
      </w:r>
      <w:r>
        <w:t>）项目管理机构组成表</w:t>
      </w:r>
      <w:bookmarkEnd w:id="313"/>
      <w:bookmarkEnd w:id="314"/>
      <w:bookmarkEnd w:id="315"/>
      <w:bookmarkEnd w:id="316"/>
    </w:p>
    <w:p w14:paraId="69188AE7">
      <w:pPr>
        <w:spacing w:line="440" w:lineRule="exact"/>
        <w:jc w:val="center"/>
        <w:rPr>
          <w:rFonts w:eastAsia="黑体"/>
          <w:sz w:val="23"/>
          <w:szCs w:val="23"/>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5"/>
        <w:jc w:val="both"/>
        <w:rPr>
          <w:rFonts w:eastAsia="黑体"/>
          <w:sz w:val="23"/>
          <w:szCs w:val="23"/>
        </w:rPr>
      </w:pPr>
      <w:bookmarkStart w:id="323" w:name="_Toc296602616"/>
      <w:bookmarkStart w:id="324" w:name="_Toc246997114"/>
      <w:bookmarkStart w:id="325" w:name="_Toc247085889"/>
      <w:bookmarkStart w:id="326" w:name="_Toc246996371"/>
      <w:r>
        <w:t>（</w:t>
      </w:r>
      <w:r>
        <w:rPr>
          <w:rFonts w:hint="eastAsia"/>
          <w:lang w:val="en-US" w:eastAsia="zh-CN"/>
        </w:rPr>
        <w:t>三</w:t>
      </w:r>
      <w:r>
        <w:t>）</w:t>
      </w:r>
      <w:r>
        <w:rPr>
          <w:rFonts w:hint="eastAsia"/>
          <w:lang w:eastAsia="zh-CN"/>
        </w:rPr>
        <w:t>项目负责人</w:t>
      </w:r>
      <w:r>
        <w:t>简历表</w:t>
      </w:r>
      <w:bookmarkEnd w:id="323"/>
      <w:bookmarkEnd w:id="324"/>
      <w:bookmarkEnd w:id="325"/>
      <w:bookmarkEnd w:id="326"/>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7"/>
      <w:bookmarkEnd w:id="318"/>
      <w:bookmarkEnd w:id="319"/>
      <w:bookmarkEnd w:id="320"/>
      <w:bookmarkEnd w:id="321"/>
      <w:bookmarkEnd w:id="322"/>
    </w:p>
    <w:p w14:paraId="76AECB73">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27" w:name="_Toc152045811"/>
      <w:bookmarkStart w:id="328" w:name="_Toc247514303"/>
      <w:bookmarkStart w:id="329" w:name="_Toc247527851"/>
      <w:bookmarkStart w:id="330" w:name="_Toc152042600"/>
      <w:bookmarkStart w:id="331" w:name="_Toc144974879"/>
    </w:p>
    <w:p w14:paraId="7C055E10">
      <w:pPr>
        <w:spacing w:line="440" w:lineRule="exact"/>
        <w:rPr>
          <w:rFonts w:hint="default" w:ascii="Times New Roman" w:hAnsi="Times New Roman" w:cs="Times New Roman"/>
        </w:rPr>
      </w:pPr>
    </w:p>
    <w:bookmarkEnd w:id="327"/>
    <w:bookmarkEnd w:id="328"/>
    <w:bookmarkEnd w:id="329"/>
    <w:bookmarkEnd w:id="330"/>
    <w:bookmarkEnd w:id="331"/>
    <w:p w14:paraId="337CCC8B">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307"/>
    <w:p w14:paraId="549F311A">
      <w:pPr>
        <w:pStyle w:val="5"/>
        <w:jc w:val="center"/>
        <w:rPr>
          <w:rFonts w:hint="eastAsia" w:ascii="Times New Roman" w:hAnsi="Times New Roman" w:cs="Times New Roman"/>
          <w:lang w:val="en-US" w:eastAsia="zh-CN"/>
        </w:rPr>
      </w:pPr>
      <w:bookmarkStart w:id="332" w:name="_Toc247527848"/>
      <w:bookmarkStart w:id="333" w:name="_Toc246996372"/>
      <w:bookmarkStart w:id="334" w:name="_Toc247514300"/>
      <w:bookmarkStart w:id="335" w:name="_Toc246997115"/>
      <w:bookmarkStart w:id="336" w:name="_Toc152045807"/>
      <w:bookmarkStart w:id="337" w:name="_Toc152042596"/>
      <w:bookmarkStart w:id="338" w:name="_Toc179632827"/>
      <w:bookmarkStart w:id="339" w:name="_Toc247085890"/>
      <w:bookmarkStart w:id="340" w:name="_Toc152042597"/>
      <w:bookmarkStart w:id="341" w:name="_Toc296602617"/>
      <w:bookmarkStart w:id="342" w:name="_Toc144974875"/>
      <w:bookmarkStart w:id="343" w:name="_Toc300835224"/>
      <w:bookmarkStart w:id="344" w:name="_Toc152045808"/>
      <w:bookmarkStart w:id="345" w:name="_Toc144974876"/>
      <w:r>
        <w:rPr>
          <w:rFonts w:hint="eastAsia" w:ascii="Times New Roman" w:hAnsi="Times New Roman" w:cs="Times New Roman"/>
          <w:lang w:val="en-US" w:eastAsia="zh-CN"/>
        </w:rPr>
        <w:t>九、</w:t>
      </w:r>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r>
        <w:rPr>
          <w:rFonts w:hint="eastAsia" w:ascii="Times New Roman" w:hAnsi="Times New Roman" w:cs="Times New Roman"/>
          <w:lang w:val="en-US" w:eastAsia="zh-CN"/>
        </w:rPr>
        <w:t>响应方案</w:t>
      </w:r>
    </w:p>
    <w:p w14:paraId="433781BC">
      <w:pPr>
        <w:pStyle w:val="5"/>
        <w:jc w:val="center"/>
        <w:rPr>
          <w:rFonts w:hint="eastAsia" w:asciiTheme="minorEastAsia" w:hAnsi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cstheme="minorEastAsia"/>
          <w:color w:val="000000" w:themeColor="text1"/>
          <w:sz w:val="21"/>
          <w:szCs w:val="21"/>
          <w:lang w:val="en-US" w:eastAsia="zh-CN"/>
          <w14:textFill>
            <w14:solidFill>
              <w14:schemeClr w14:val="tx1"/>
            </w14:solidFill>
          </w14:textFill>
        </w:rPr>
        <w:t xml:space="preserve">响应方案（服务方案）格式及内容由供应商自拟 </w:t>
      </w:r>
    </w:p>
    <w:p w14:paraId="75526744">
      <w:pPr>
        <w:spacing w:line="440" w:lineRule="exact"/>
        <w:rPr>
          <w:rFonts w:hint="default" w:ascii="Times New Roman" w:hAnsi="Times New Roman" w:cs="Times New Roman"/>
        </w:rPr>
      </w:pPr>
      <w:bookmarkStart w:id="346" w:name="_Toc152042602"/>
      <w:bookmarkStart w:id="347" w:name="_Toc247527853"/>
      <w:bookmarkStart w:id="348" w:name="_Toc152045813"/>
      <w:bookmarkStart w:id="349" w:name="_Toc247514305"/>
      <w:bookmarkStart w:id="350" w:name="_Toc144974881"/>
      <w:bookmarkStart w:id="351" w:name="_Toc247530162"/>
    </w:p>
    <w:bookmarkEnd w:id="346"/>
    <w:bookmarkEnd w:id="347"/>
    <w:bookmarkEnd w:id="348"/>
    <w:bookmarkEnd w:id="349"/>
    <w:bookmarkEnd w:id="350"/>
    <w:bookmarkEnd w:id="351"/>
    <w:p w14:paraId="1E5B7EEB">
      <w:pPr>
        <w:pStyle w:val="4"/>
        <w:jc w:val="center"/>
        <w:rPr>
          <w:rFonts w:hint="default" w:ascii="Times New Roman" w:hAnsi="Times New Roman" w:cs="Times New Roman"/>
        </w:rPr>
      </w:pPr>
      <w:bookmarkStart w:id="352" w:name="_Toc271821942"/>
      <w:bookmarkStart w:id="353"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52"/>
      <w:bookmarkEnd w:id="353"/>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p w14:paraId="6665705B">
      <w:pPr>
        <w:pStyle w:val="2"/>
        <w:jc w:val="center"/>
        <w:rPr>
          <w:rFonts w:hint="default"/>
          <w:lang w:val="en-US" w:eastAsia="zh-CN"/>
        </w:rPr>
      </w:pPr>
      <w:r>
        <w:rPr>
          <w:rFonts w:hint="eastAsia" w:ascii="Times New Roman" w:hAnsi="Times New Roman" w:eastAsia="宋体" w:cs="Times New Roman"/>
          <w:b w:val="0"/>
          <w:bCs w:val="0"/>
          <w:kern w:val="0"/>
          <w:sz w:val="24"/>
          <w:szCs w:val="24"/>
          <w:highlight w:val="none"/>
          <w:lang w:val="en-US" w:eastAsia="zh-CN" w:bidi="ar-SA"/>
        </w:rPr>
        <w:t>根据第三章评审办法和第五章采购需求的要求，提供相关证明材料及承诺书。</w:t>
      </w:r>
      <w:bookmarkStart w:id="354" w:name="_GoBack"/>
      <w:bookmarkEnd w:id="354"/>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FF39044-3F0E-4103-BD7F-C38555ED0C85}"/>
  </w:font>
  <w:font w:name="Arial">
    <w:panose1 w:val="020B0604020202020204"/>
    <w:charset w:val="01"/>
    <w:family w:val="swiss"/>
    <w:pitch w:val="default"/>
    <w:sig w:usb0="E0002EFF" w:usb1="C000785B" w:usb2="00000009" w:usb3="00000000" w:csb0="400001FF" w:csb1="FFFF0000"/>
    <w:embedRegular r:id="rId2" w:fontKey="{7A3BC636-1A5F-49FC-BEAD-FB0FF52A7449}"/>
  </w:font>
  <w:font w:name="黑体">
    <w:panose1 w:val="02010609060101010101"/>
    <w:charset w:val="86"/>
    <w:family w:val="auto"/>
    <w:pitch w:val="default"/>
    <w:sig w:usb0="800002BF" w:usb1="38CF7CFA" w:usb2="00000016" w:usb3="00000000" w:csb0="00040001" w:csb1="00000000"/>
    <w:embedRegular r:id="rId3" w:fontKey="{D085E7C9-313F-42C2-B501-4B95DDD5365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AB3B1F98-B2ED-42C4-A312-D6F67F641705}"/>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5" w:fontKey="{B51D9602-6759-487D-A06C-4B6055EBFF35}"/>
  </w:font>
  <w:font w:name="方正小标宋简体">
    <w:panose1 w:val="03000509000000000000"/>
    <w:charset w:val="86"/>
    <w:family w:val="auto"/>
    <w:pitch w:val="default"/>
    <w:sig w:usb0="00000001" w:usb1="080E0000" w:usb2="00000000" w:usb3="00000000" w:csb0="00040000" w:csb1="00000000"/>
    <w:embedRegular r:id="rId6" w:fontKey="{9A6E3F0B-722A-4E7F-81CC-30853E79C1F9}"/>
  </w:font>
  <w:font w:name="楷体">
    <w:panose1 w:val="02010609060101010101"/>
    <w:charset w:val="86"/>
    <w:family w:val="auto"/>
    <w:pitch w:val="default"/>
    <w:sig w:usb0="800002BF" w:usb1="38CF7CFA" w:usb2="00000016" w:usb3="00000000" w:csb0="00040001" w:csb1="00000000"/>
    <w:embedRegular r:id="rId7" w:fontKey="{B816B220-BA8E-414B-BF97-63206B24DF3A}"/>
  </w:font>
  <w:font w:name="Wingdings 2">
    <w:panose1 w:val="05020102010507070707"/>
    <w:charset w:val="00"/>
    <w:family w:val="auto"/>
    <w:pitch w:val="default"/>
    <w:sig w:usb0="00000000" w:usb1="00000000" w:usb2="00000000" w:usb3="00000000" w:csb0="80000000" w:csb1="00000000"/>
    <w:embedRegular r:id="rId8" w:fontKey="{FDEE36E9-C530-4450-83F5-FD0E84494A84}"/>
  </w:font>
  <w:font w:name="方正仿宋_GB2312">
    <w:altName w:val="仿宋"/>
    <w:panose1 w:val="02000000000000000000"/>
    <w:charset w:val="86"/>
    <w:family w:val="auto"/>
    <w:pitch w:val="default"/>
    <w:sig w:usb0="00000000" w:usb1="00000000" w:usb2="00000012" w:usb3="00000000" w:csb0="00040001" w:csb1="00000000"/>
    <w:embedRegular r:id="rId9" w:fontKey="{777C7264-796E-4276-A38B-BE814E65FF31}"/>
  </w:font>
  <w:font w:name="仿宋">
    <w:panose1 w:val="02010609060101010101"/>
    <w:charset w:val="86"/>
    <w:family w:val="modern"/>
    <w:pitch w:val="default"/>
    <w:sig w:usb0="800002BF" w:usb1="38CF7CFA" w:usb2="00000016" w:usb3="00000000" w:csb0="00040001" w:csb1="00000000"/>
    <w:embedRegular r:id="rId10" w:fontKey="{6B1B5CE6-83A6-46E7-BAAF-55450498C6D9}"/>
  </w:font>
  <w:font w:name="@仿宋_GB2312">
    <w:panose1 w:val="02010609030101010101"/>
    <w:charset w:val="86"/>
    <w:family w:val="modern"/>
    <w:pitch w:val="default"/>
    <w:sig w:usb0="00000001" w:usb1="080E0000" w:usb2="00000000" w:usb3="00000000" w:csb0="00040000" w:csb1="00000000"/>
    <w:embedRegular r:id="rId11" w:fontKey="{784D431E-F25B-46D4-9716-EBD68A2CDC70}"/>
  </w:font>
  <w:font w:name="Arial Unicode MS">
    <w:altName w:val="宋体"/>
    <w:panose1 w:val="020B0604020202020204"/>
    <w:charset w:val="86"/>
    <w:family w:val="auto"/>
    <w:pitch w:val="default"/>
    <w:sig w:usb0="00000000" w:usb1="00000000" w:usb2="0000003F" w:usb3="00000000" w:csb0="603F01FF" w:csb1="FFFF0000"/>
    <w:embedRegular r:id="rId12" w:fontKey="{D836AF25-2733-4D9A-BEAB-5D13D875CE9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5E905A">
                          <w:pPr>
                            <w:pStyle w:val="11"/>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- 35 -</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60288;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GpUrO1gAAAAYBAAAPAAAAAAAAAAEAIAAAACIAAABkcnMvZG93bnJl&#10;di54bWxQSwECFAAUAAAACACHTuJAmdTHYTgCAABrBAAADgAAAAAAAAABACAAAAAlAQAAZHJzL2Uy&#10;b0RvYy54bWxQSwUGAAAAAAYABgBZAQAAzwUAAAAA&#10;">
              <v:fill on="f" focussize="0,0"/>
              <v:stroke on="f" weight="0.5pt"/>
              <v:imagedata o:title=""/>
              <o:lock v:ext="edit" aspectratio="f"/>
              <v:textbox inset="16pt,0mm,16pt,0mm" style="mso-fit-shape-to-text:t;">
                <w:txbxContent>
                  <w:p w14:paraId="5E5E905A">
                    <w:pPr>
                      <w:pStyle w:val="11"/>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- 35 -</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F9D4C">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1312A7">
                          <w:pPr>
                            <w:pStyle w:val="1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01312A7">
                    <w:pPr>
                      <w:pStyle w:val="12"/>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D502A9"/>
    <w:multiLevelType w:val="singleLevel"/>
    <w:tmpl w:val="BED502A9"/>
    <w:lvl w:ilvl="0" w:tentative="0">
      <w:start w:val="1"/>
      <w:numFmt w:val="decimal"/>
      <w:lvlText w:val="%1."/>
      <w:lvlJc w:val="left"/>
      <w:pPr>
        <w:tabs>
          <w:tab w:val="left" w:pos="312"/>
        </w:tabs>
      </w:pPr>
    </w:lvl>
  </w:abstractNum>
  <w:abstractNum w:abstractNumId="1">
    <w:nsid w:val="C199666B"/>
    <w:multiLevelType w:val="singleLevel"/>
    <w:tmpl w:val="C199666B"/>
    <w:lvl w:ilvl="0" w:tentative="0">
      <w:start w:val="2"/>
      <w:numFmt w:val="chineseCounting"/>
      <w:suff w:val="nothing"/>
      <w:lvlText w:val="%1、"/>
      <w:lvlJc w:val="left"/>
      <w:pPr>
        <w:ind w:left="600" w:leftChars="0" w:firstLine="0" w:firstLineChars="0"/>
      </w:pPr>
      <w:rPr>
        <w:rFonts w:hint="eastAsia"/>
      </w:rPr>
    </w:lvl>
  </w:abstractNum>
  <w:abstractNum w:abstractNumId="2">
    <w:nsid w:val="2C3C84C0"/>
    <w:multiLevelType w:val="singleLevel"/>
    <w:tmpl w:val="2C3C84C0"/>
    <w:lvl w:ilvl="0" w:tentative="0">
      <w:start w:val="1"/>
      <w:numFmt w:val="decimal"/>
      <w:lvlText w:val="%1."/>
      <w:lvlJc w:val="left"/>
      <w:pPr>
        <w:tabs>
          <w:tab w:val="left" w:pos="312"/>
        </w:tabs>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6601E"/>
    <w:rsid w:val="019846E3"/>
    <w:rsid w:val="01B6046E"/>
    <w:rsid w:val="01B666C0"/>
    <w:rsid w:val="01BC7971"/>
    <w:rsid w:val="01CB0CDF"/>
    <w:rsid w:val="01CD2334"/>
    <w:rsid w:val="01E140D3"/>
    <w:rsid w:val="01EE4D0C"/>
    <w:rsid w:val="01F16263"/>
    <w:rsid w:val="02016132"/>
    <w:rsid w:val="0212370C"/>
    <w:rsid w:val="021D348F"/>
    <w:rsid w:val="022A6766"/>
    <w:rsid w:val="025657AD"/>
    <w:rsid w:val="026E5FAB"/>
    <w:rsid w:val="02983D41"/>
    <w:rsid w:val="029E162E"/>
    <w:rsid w:val="029F2BC9"/>
    <w:rsid w:val="02A31129"/>
    <w:rsid w:val="02A46690"/>
    <w:rsid w:val="02AC508C"/>
    <w:rsid w:val="02BE075F"/>
    <w:rsid w:val="02BE15ED"/>
    <w:rsid w:val="02CF7A3A"/>
    <w:rsid w:val="02F254D6"/>
    <w:rsid w:val="02F4317E"/>
    <w:rsid w:val="03065622"/>
    <w:rsid w:val="0324584F"/>
    <w:rsid w:val="032652C7"/>
    <w:rsid w:val="033115FF"/>
    <w:rsid w:val="033964DC"/>
    <w:rsid w:val="034877EC"/>
    <w:rsid w:val="035021B2"/>
    <w:rsid w:val="035F6CAE"/>
    <w:rsid w:val="03633AA8"/>
    <w:rsid w:val="036839EA"/>
    <w:rsid w:val="03696450"/>
    <w:rsid w:val="037A1471"/>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744F1"/>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6C3066"/>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3C5D36"/>
    <w:rsid w:val="0541752E"/>
    <w:rsid w:val="055625ED"/>
    <w:rsid w:val="05625696"/>
    <w:rsid w:val="0572490A"/>
    <w:rsid w:val="057E3D65"/>
    <w:rsid w:val="058253F2"/>
    <w:rsid w:val="05872EB9"/>
    <w:rsid w:val="05933026"/>
    <w:rsid w:val="059A47F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34017"/>
    <w:rsid w:val="06F81D74"/>
    <w:rsid w:val="06FA4AF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C136C9"/>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A76D63"/>
    <w:rsid w:val="08B056B6"/>
    <w:rsid w:val="08BE35C2"/>
    <w:rsid w:val="08C616D3"/>
    <w:rsid w:val="08E13E13"/>
    <w:rsid w:val="08E8078A"/>
    <w:rsid w:val="08E92ED7"/>
    <w:rsid w:val="08ED571D"/>
    <w:rsid w:val="08F33D56"/>
    <w:rsid w:val="08F53A28"/>
    <w:rsid w:val="09023F99"/>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4639B"/>
    <w:rsid w:val="0A074254"/>
    <w:rsid w:val="0A0B0C4F"/>
    <w:rsid w:val="0A0D7099"/>
    <w:rsid w:val="0A2F0DBE"/>
    <w:rsid w:val="0A3B332D"/>
    <w:rsid w:val="0A3E36F7"/>
    <w:rsid w:val="0A466107"/>
    <w:rsid w:val="0A476E94"/>
    <w:rsid w:val="0A500304"/>
    <w:rsid w:val="0A5234C1"/>
    <w:rsid w:val="0A6F2477"/>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C92C53"/>
    <w:rsid w:val="0CD3448B"/>
    <w:rsid w:val="0CF072F3"/>
    <w:rsid w:val="0D0271E7"/>
    <w:rsid w:val="0D1336AF"/>
    <w:rsid w:val="0D2466BD"/>
    <w:rsid w:val="0D3A1668"/>
    <w:rsid w:val="0D4E28CF"/>
    <w:rsid w:val="0D5A43A4"/>
    <w:rsid w:val="0D5C2246"/>
    <w:rsid w:val="0D5E3DDF"/>
    <w:rsid w:val="0D5F27A6"/>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269A8"/>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917E25"/>
    <w:rsid w:val="0FA4706B"/>
    <w:rsid w:val="0FA67D74"/>
    <w:rsid w:val="0FA819A2"/>
    <w:rsid w:val="0FCA08C0"/>
    <w:rsid w:val="0FCA14B6"/>
    <w:rsid w:val="0FCA2C69"/>
    <w:rsid w:val="0FCE0971"/>
    <w:rsid w:val="0FD022B3"/>
    <w:rsid w:val="0FE05A9A"/>
    <w:rsid w:val="0FE3306C"/>
    <w:rsid w:val="0FE42DE8"/>
    <w:rsid w:val="0FF94348"/>
    <w:rsid w:val="0FFA6EBC"/>
    <w:rsid w:val="100C552D"/>
    <w:rsid w:val="101038A7"/>
    <w:rsid w:val="101E2D38"/>
    <w:rsid w:val="10446D2F"/>
    <w:rsid w:val="104957CA"/>
    <w:rsid w:val="104D6EF3"/>
    <w:rsid w:val="105C0433"/>
    <w:rsid w:val="1069417C"/>
    <w:rsid w:val="106C1E4B"/>
    <w:rsid w:val="10772B1E"/>
    <w:rsid w:val="108A23D3"/>
    <w:rsid w:val="108A24B6"/>
    <w:rsid w:val="108D506C"/>
    <w:rsid w:val="108E481D"/>
    <w:rsid w:val="1095135B"/>
    <w:rsid w:val="10C72751"/>
    <w:rsid w:val="10CD621A"/>
    <w:rsid w:val="10D35E97"/>
    <w:rsid w:val="10FA24E5"/>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9025A"/>
    <w:rsid w:val="11EA4DE7"/>
    <w:rsid w:val="11EE77B0"/>
    <w:rsid w:val="11F052D6"/>
    <w:rsid w:val="11F058CE"/>
    <w:rsid w:val="11F12DFD"/>
    <w:rsid w:val="11F30DF9"/>
    <w:rsid w:val="11FC3F3B"/>
    <w:rsid w:val="12110B1B"/>
    <w:rsid w:val="123A69E4"/>
    <w:rsid w:val="12445622"/>
    <w:rsid w:val="124D3BAD"/>
    <w:rsid w:val="1250061C"/>
    <w:rsid w:val="12577104"/>
    <w:rsid w:val="125A52C4"/>
    <w:rsid w:val="12655D96"/>
    <w:rsid w:val="127557DC"/>
    <w:rsid w:val="127A564B"/>
    <w:rsid w:val="128E3C38"/>
    <w:rsid w:val="129B676B"/>
    <w:rsid w:val="12BF2922"/>
    <w:rsid w:val="12C30C3D"/>
    <w:rsid w:val="12C942C8"/>
    <w:rsid w:val="12D06EB6"/>
    <w:rsid w:val="12DC5F5E"/>
    <w:rsid w:val="12DC7F8C"/>
    <w:rsid w:val="12E82A0B"/>
    <w:rsid w:val="12E84200"/>
    <w:rsid w:val="131873D2"/>
    <w:rsid w:val="131D498C"/>
    <w:rsid w:val="132533D6"/>
    <w:rsid w:val="13274F9C"/>
    <w:rsid w:val="13392CAD"/>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92D22"/>
    <w:rsid w:val="142B5FE2"/>
    <w:rsid w:val="14542872"/>
    <w:rsid w:val="14773A8D"/>
    <w:rsid w:val="147E2423"/>
    <w:rsid w:val="1487273A"/>
    <w:rsid w:val="148C28CB"/>
    <w:rsid w:val="14922675"/>
    <w:rsid w:val="14944440"/>
    <w:rsid w:val="14A059A0"/>
    <w:rsid w:val="14A800EA"/>
    <w:rsid w:val="14AD3953"/>
    <w:rsid w:val="14B97B05"/>
    <w:rsid w:val="14CD31B9"/>
    <w:rsid w:val="14DA6BBE"/>
    <w:rsid w:val="14DB226E"/>
    <w:rsid w:val="14DE5E10"/>
    <w:rsid w:val="14E153AA"/>
    <w:rsid w:val="14E67563"/>
    <w:rsid w:val="14F926F4"/>
    <w:rsid w:val="15021B62"/>
    <w:rsid w:val="150A21BA"/>
    <w:rsid w:val="151779D1"/>
    <w:rsid w:val="151C17D3"/>
    <w:rsid w:val="1522437E"/>
    <w:rsid w:val="15283931"/>
    <w:rsid w:val="15382F40"/>
    <w:rsid w:val="154B07D3"/>
    <w:rsid w:val="155362A8"/>
    <w:rsid w:val="155A7AD3"/>
    <w:rsid w:val="157D394F"/>
    <w:rsid w:val="158374C1"/>
    <w:rsid w:val="15A42F15"/>
    <w:rsid w:val="15A62ECC"/>
    <w:rsid w:val="15B14179"/>
    <w:rsid w:val="15C516BD"/>
    <w:rsid w:val="15C90318"/>
    <w:rsid w:val="15CC3B64"/>
    <w:rsid w:val="15CF62E1"/>
    <w:rsid w:val="15CF6FE1"/>
    <w:rsid w:val="15D469C1"/>
    <w:rsid w:val="160055BA"/>
    <w:rsid w:val="160475A2"/>
    <w:rsid w:val="160F71A0"/>
    <w:rsid w:val="162304BC"/>
    <w:rsid w:val="16260CA4"/>
    <w:rsid w:val="164D0F49"/>
    <w:rsid w:val="165014D1"/>
    <w:rsid w:val="166266B1"/>
    <w:rsid w:val="16932BF5"/>
    <w:rsid w:val="169528F0"/>
    <w:rsid w:val="169D0879"/>
    <w:rsid w:val="16AF53BE"/>
    <w:rsid w:val="16C724D4"/>
    <w:rsid w:val="16D411E7"/>
    <w:rsid w:val="16ED0036"/>
    <w:rsid w:val="17032E1B"/>
    <w:rsid w:val="170756D4"/>
    <w:rsid w:val="170F4587"/>
    <w:rsid w:val="173043C7"/>
    <w:rsid w:val="17591B70"/>
    <w:rsid w:val="17600C81"/>
    <w:rsid w:val="176115DC"/>
    <w:rsid w:val="176D7525"/>
    <w:rsid w:val="17740758"/>
    <w:rsid w:val="17824660"/>
    <w:rsid w:val="178F2FF8"/>
    <w:rsid w:val="179121FE"/>
    <w:rsid w:val="17915931"/>
    <w:rsid w:val="17C41ABF"/>
    <w:rsid w:val="17C4465B"/>
    <w:rsid w:val="17CF257F"/>
    <w:rsid w:val="17E02C2C"/>
    <w:rsid w:val="17E92EF4"/>
    <w:rsid w:val="18057602"/>
    <w:rsid w:val="18175D56"/>
    <w:rsid w:val="18276B10"/>
    <w:rsid w:val="185C1EE0"/>
    <w:rsid w:val="18627B26"/>
    <w:rsid w:val="18695DE3"/>
    <w:rsid w:val="18930C59"/>
    <w:rsid w:val="189B5F22"/>
    <w:rsid w:val="18A70256"/>
    <w:rsid w:val="18A70F0E"/>
    <w:rsid w:val="18A944F8"/>
    <w:rsid w:val="18AF4FA8"/>
    <w:rsid w:val="18B73074"/>
    <w:rsid w:val="18CC0A2E"/>
    <w:rsid w:val="18DA76F1"/>
    <w:rsid w:val="18E57F8F"/>
    <w:rsid w:val="18E86D07"/>
    <w:rsid w:val="18EC2236"/>
    <w:rsid w:val="18EE47F3"/>
    <w:rsid w:val="18F5267A"/>
    <w:rsid w:val="19034C2D"/>
    <w:rsid w:val="1916127C"/>
    <w:rsid w:val="19166340"/>
    <w:rsid w:val="191B662F"/>
    <w:rsid w:val="192E299C"/>
    <w:rsid w:val="192F13FC"/>
    <w:rsid w:val="193D465D"/>
    <w:rsid w:val="193D4E12"/>
    <w:rsid w:val="19483C4A"/>
    <w:rsid w:val="194F322A"/>
    <w:rsid w:val="196C6238"/>
    <w:rsid w:val="198A59D6"/>
    <w:rsid w:val="19A73D74"/>
    <w:rsid w:val="19AA5416"/>
    <w:rsid w:val="19C427FA"/>
    <w:rsid w:val="19CD1CDB"/>
    <w:rsid w:val="19CE7FF6"/>
    <w:rsid w:val="19D11E91"/>
    <w:rsid w:val="19D70C6D"/>
    <w:rsid w:val="19E2271F"/>
    <w:rsid w:val="1A02523A"/>
    <w:rsid w:val="1A075570"/>
    <w:rsid w:val="1A1C623A"/>
    <w:rsid w:val="1A265143"/>
    <w:rsid w:val="1A270D5F"/>
    <w:rsid w:val="1A442027"/>
    <w:rsid w:val="1A4C65B4"/>
    <w:rsid w:val="1A4D4CED"/>
    <w:rsid w:val="1A6861C1"/>
    <w:rsid w:val="1A6E148E"/>
    <w:rsid w:val="1A797469"/>
    <w:rsid w:val="1A8850B8"/>
    <w:rsid w:val="1A9138C2"/>
    <w:rsid w:val="1A9B5FFB"/>
    <w:rsid w:val="1AA066C8"/>
    <w:rsid w:val="1ABF2F84"/>
    <w:rsid w:val="1AC11F06"/>
    <w:rsid w:val="1ADB0B95"/>
    <w:rsid w:val="1AE31E7C"/>
    <w:rsid w:val="1AF80851"/>
    <w:rsid w:val="1B0361BC"/>
    <w:rsid w:val="1B045F93"/>
    <w:rsid w:val="1B097409"/>
    <w:rsid w:val="1B116412"/>
    <w:rsid w:val="1B262D26"/>
    <w:rsid w:val="1B2670F4"/>
    <w:rsid w:val="1B2D1E19"/>
    <w:rsid w:val="1B2D7FD6"/>
    <w:rsid w:val="1B3165F8"/>
    <w:rsid w:val="1B3A5220"/>
    <w:rsid w:val="1B3B258E"/>
    <w:rsid w:val="1B3E7000"/>
    <w:rsid w:val="1B652C95"/>
    <w:rsid w:val="1B70155F"/>
    <w:rsid w:val="1B723039"/>
    <w:rsid w:val="1B7700FA"/>
    <w:rsid w:val="1B894EBC"/>
    <w:rsid w:val="1B8C1172"/>
    <w:rsid w:val="1B9269B7"/>
    <w:rsid w:val="1BA57132"/>
    <w:rsid w:val="1BB12BB2"/>
    <w:rsid w:val="1BB50563"/>
    <w:rsid w:val="1BCB46BE"/>
    <w:rsid w:val="1BCE49E9"/>
    <w:rsid w:val="1BD12722"/>
    <w:rsid w:val="1BD15865"/>
    <w:rsid w:val="1BDC68CC"/>
    <w:rsid w:val="1BF55316"/>
    <w:rsid w:val="1BF73705"/>
    <w:rsid w:val="1BFD0D1C"/>
    <w:rsid w:val="1BFE7E24"/>
    <w:rsid w:val="1C100B6A"/>
    <w:rsid w:val="1C2075D6"/>
    <w:rsid w:val="1C2B6CB4"/>
    <w:rsid w:val="1C3774BA"/>
    <w:rsid w:val="1C3D55BC"/>
    <w:rsid w:val="1C4859F3"/>
    <w:rsid w:val="1C4E114E"/>
    <w:rsid w:val="1C5D5F8B"/>
    <w:rsid w:val="1C630441"/>
    <w:rsid w:val="1C6934B1"/>
    <w:rsid w:val="1C6C5EA1"/>
    <w:rsid w:val="1C6E241C"/>
    <w:rsid w:val="1CAF0413"/>
    <w:rsid w:val="1CB07DF9"/>
    <w:rsid w:val="1CB612AF"/>
    <w:rsid w:val="1CC3681B"/>
    <w:rsid w:val="1CF251D3"/>
    <w:rsid w:val="1CFF3217"/>
    <w:rsid w:val="1D01483C"/>
    <w:rsid w:val="1D0460DA"/>
    <w:rsid w:val="1D0C3E62"/>
    <w:rsid w:val="1D1D0D81"/>
    <w:rsid w:val="1D35436C"/>
    <w:rsid w:val="1D3A1AFC"/>
    <w:rsid w:val="1D464944"/>
    <w:rsid w:val="1D4B5AB7"/>
    <w:rsid w:val="1D546098"/>
    <w:rsid w:val="1D5801D4"/>
    <w:rsid w:val="1D5835F0"/>
    <w:rsid w:val="1D594678"/>
    <w:rsid w:val="1D8C5045"/>
    <w:rsid w:val="1D9244F8"/>
    <w:rsid w:val="1D931CEA"/>
    <w:rsid w:val="1D9C4E32"/>
    <w:rsid w:val="1DC177D9"/>
    <w:rsid w:val="1DDB508D"/>
    <w:rsid w:val="1DE81558"/>
    <w:rsid w:val="1E015E7F"/>
    <w:rsid w:val="1E0A3BC4"/>
    <w:rsid w:val="1E1A236E"/>
    <w:rsid w:val="1E225BB3"/>
    <w:rsid w:val="1E2A6113"/>
    <w:rsid w:val="1E2D212B"/>
    <w:rsid w:val="1E2E6E13"/>
    <w:rsid w:val="1E2F53D8"/>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A5578"/>
    <w:rsid w:val="1F2C3C4B"/>
    <w:rsid w:val="1F36160E"/>
    <w:rsid w:val="1F3F33F9"/>
    <w:rsid w:val="1F5D00BF"/>
    <w:rsid w:val="1F640255"/>
    <w:rsid w:val="1F642950"/>
    <w:rsid w:val="1F671677"/>
    <w:rsid w:val="1F722047"/>
    <w:rsid w:val="1F8B3432"/>
    <w:rsid w:val="1F8E1163"/>
    <w:rsid w:val="1F904945"/>
    <w:rsid w:val="1FA7625B"/>
    <w:rsid w:val="1FAA6A2E"/>
    <w:rsid w:val="1FB97650"/>
    <w:rsid w:val="1FBE07C2"/>
    <w:rsid w:val="1FC11059"/>
    <w:rsid w:val="1FD53D5E"/>
    <w:rsid w:val="1FDC7161"/>
    <w:rsid w:val="1FE570E2"/>
    <w:rsid w:val="1FE72013"/>
    <w:rsid w:val="1FE7673E"/>
    <w:rsid w:val="1FEA2A6F"/>
    <w:rsid w:val="200E38F2"/>
    <w:rsid w:val="201E585F"/>
    <w:rsid w:val="202C474F"/>
    <w:rsid w:val="2049266D"/>
    <w:rsid w:val="204F1D62"/>
    <w:rsid w:val="20534B67"/>
    <w:rsid w:val="20557DC5"/>
    <w:rsid w:val="205A5C16"/>
    <w:rsid w:val="205B7D6A"/>
    <w:rsid w:val="2061066F"/>
    <w:rsid w:val="206919AD"/>
    <w:rsid w:val="207C33EE"/>
    <w:rsid w:val="207E5B72"/>
    <w:rsid w:val="207E6748"/>
    <w:rsid w:val="2081342E"/>
    <w:rsid w:val="20823EE5"/>
    <w:rsid w:val="209740BF"/>
    <w:rsid w:val="2099242E"/>
    <w:rsid w:val="20B0411F"/>
    <w:rsid w:val="20B41BC5"/>
    <w:rsid w:val="20D658C9"/>
    <w:rsid w:val="20D95B5B"/>
    <w:rsid w:val="20DC2416"/>
    <w:rsid w:val="20DE6C42"/>
    <w:rsid w:val="20ED7FD0"/>
    <w:rsid w:val="20F22231"/>
    <w:rsid w:val="20FC3C98"/>
    <w:rsid w:val="21015C26"/>
    <w:rsid w:val="21121083"/>
    <w:rsid w:val="211518DD"/>
    <w:rsid w:val="21224D81"/>
    <w:rsid w:val="212B2F31"/>
    <w:rsid w:val="21327DB2"/>
    <w:rsid w:val="213A06E6"/>
    <w:rsid w:val="213D6756"/>
    <w:rsid w:val="213D7BD8"/>
    <w:rsid w:val="214C4EC5"/>
    <w:rsid w:val="2153567F"/>
    <w:rsid w:val="21535882"/>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1C3D7D"/>
    <w:rsid w:val="22270787"/>
    <w:rsid w:val="224D73DD"/>
    <w:rsid w:val="22592601"/>
    <w:rsid w:val="2259286B"/>
    <w:rsid w:val="22603DB2"/>
    <w:rsid w:val="226D7B83"/>
    <w:rsid w:val="2293123C"/>
    <w:rsid w:val="229E633A"/>
    <w:rsid w:val="22A570EC"/>
    <w:rsid w:val="22D569A0"/>
    <w:rsid w:val="230F1167"/>
    <w:rsid w:val="232D6E37"/>
    <w:rsid w:val="232E56FD"/>
    <w:rsid w:val="233F5F96"/>
    <w:rsid w:val="235A4CA6"/>
    <w:rsid w:val="235F4D23"/>
    <w:rsid w:val="236D4028"/>
    <w:rsid w:val="238A4DFC"/>
    <w:rsid w:val="23955CDE"/>
    <w:rsid w:val="23BD5235"/>
    <w:rsid w:val="23FA7D8F"/>
    <w:rsid w:val="24226CC5"/>
    <w:rsid w:val="24312A4A"/>
    <w:rsid w:val="244A5E9A"/>
    <w:rsid w:val="244C4BB8"/>
    <w:rsid w:val="246851A0"/>
    <w:rsid w:val="24691193"/>
    <w:rsid w:val="246C3A46"/>
    <w:rsid w:val="247152E7"/>
    <w:rsid w:val="247E6772"/>
    <w:rsid w:val="249E48F8"/>
    <w:rsid w:val="24A126FD"/>
    <w:rsid w:val="24B25E39"/>
    <w:rsid w:val="24BE35D9"/>
    <w:rsid w:val="24C525F3"/>
    <w:rsid w:val="24E81288"/>
    <w:rsid w:val="24EF2C3A"/>
    <w:rsid w:val="24FF7718"/>
    <w:rsid w:val="25121C70"/>
    <w:rsid w:val="251A7612"/>
    <w:rsid w:val="251B2213"/>
    <w:rsid w:val="25237A22"/>
    <w:rsid w:val="252E0774"/>
    <w:rsid w:val="25464730"/>
    <w:rsid w:val="25481BCE"/>
    <w:rsid w:val="254C2D14"/>
    <w:rsid w:val="255F65A3"/>
    <w:rsid w:val="256E1E26"/>
    <w:rsid w:val="25787665"/>
    <w:rsid w:val="25812F8D"/>
    <w:rsid w:val="25814DB7"/>
    <w:rsid w:val="25824959"/>
    <w:rsid w:val="258E7C7F"/>
    <w:rsid w:val="25902676"/>
    <w:rsid w:val="25987A23"/>
    <w:rsid w:val="25AB32DE"/>
    <w:rsid w:val="25BA1A2C"/>
    <w:rsid w:val="25BC160E"/>
    <w:rsid w:val="25BC46FF"/>
    <w:rsid w:val="25C517A2"/>
    <w:rsid w:val="25EF41EA"/>
    <w:rsid w:val="25F5789E"/>
    <w:rsid w:val="25FD6A72"/>
    <w:rsid w:val="2608561B"/>
    <w:rsid w:val="26196938"/>
    <w:rsid w:val="261B3491"/>
    <w:rsid w:val="26261861"/>
    <w:rsid w:val="26301CEE"/>
    <w:rsid w:val="263316E0"/>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003139"/>
    <w:rsid w:val="27135B8A"/>
    <w:rsid w:val="271C48AE"/>
    <w:rsid w:val="27301EDB"/>
    <w:rsid w:val="27453115"/>
    <w:rsid w:val="276500BD"/>
    <w:rsid w:val="276C029F"/>
    <w:rsid w:val="277B168E"/>
    <w:rsid w:val="27867E0A"/>
    <w:rsid w:val="27871DE1"/>
    <w:rsid w:val="278E4F1E"/>
    <w:rsid w:val="27982DD4"/>
    <w:rsid w:val="27C84853"/>
    <w:rsid w:val="27CA2623"/>
    <w:rsid w:val="27D8315B"/>
    <w:rsid w:val="27DD09CE"/>
    <w:rsid w:val="27E965F8"/>
    <w:rsid w:val="27EC553C"/>
    <w:rsid w:val="27FD02F5"/>
    <w:rsid w:val="280C4BFC"/>
    <w:rsid w:val="2813394B"/>
    <w:rsid w:val="2815563F"/>
    <w:rsid w:val="281C1F63"/>
    <w:rsid w:val="281C54D8"/>
    <w:rsid w:val="283610D5"/>
    <w:rsid w:val="283A2E44"/>
    <w:rsid w:val="28523AB6"/>
    <w:rsid w:val="285F5293"/>
    <w:rsid w:val="28622D71"/>
    <w:rsid w:val="286A3DDE"/>
    <w:rsid w:val="286E69FD"/>
    <w:rsid w:val="28740524"/>
    <w:rsid w:val="28A10C81"/>
    <w:rsid w:val="28B83236"/>
    <w:rsid w:val="28BC12D3"/>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CA7A73"/>
    <w:rsid w:val="29D85278"/>
    <w:rsid w:val="29E1380C"/>
    <w:rsid w:val="29E277A3"/>
    <w:rsid w:val="29E85046"/>
    <w:rsid w:val="2A017BFD"/>
    <w:rsid w:val="2A0A71F8"/>
    <w:rsid w:val="2A4913A2"/>
    <w:rsid w:val="2A6E6670"/>
    <w:rsid w:val="2A7A1DC4"/>
    <w:rsid w:val="2A8D1AFD"/>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D3D81"/>
    <w:rsid w:val="2B7E174D"/>
    <w:rsid w:val="2B82123D"/>
    <w:rsid w:val="2B8D5640"/>
    <w:rsid w:val="2BAA2FC9"/>
    <w:rsid w:val="2BB60EE7"/>
    <w:rsid w:val="2BC075E5"/>
    <w:rsid w:val="2BD246FA"/>
    <w:rsid w:val="2BD96984"/>
    <w:rsid w:val="2BDE3F9A"/>
    <w:rsid w:val="2BE152C7"/>
    <w:rsid w:val="2BEB6DE3"/>
    <w:rsid w:val="2BF4029C"/>
    <w:rsid w:val="2C13380B"/>
    <w:rsid w:val="2C1C6937"/>
    <w:rsid w:val="2C1E3C6A"/>
    <w:rsid w:val="2C202757"/>
    <w:rsid w:val="2C270D43"/>
    <w:rsid w:val="2C3B319A"/>
    <w:rsid w:val="2C5028B1"/>
    <w:rsid w:val="2C6436A6"/>
    <w:rsid w:val="2C7A2A8F"/>
    <w:rsid w:val="2C801D59"/>
    <w:rsid w:val="2C8903AA"/>
    <w:rsid w:val="2C8C13C3"/>
    <w:rsid w:val="2C8F6502"/>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E64648"/>
    <w:rsid w:val="2DF17D73"/>
    <w:rsid w:val="2DFB7085"/>
    <w:rsid w:val="2E165C6D"/>
    <w:rsid w:val="2E183793"/>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083AA5"/>
    <w:rsid w:val="2F3565C7"/>
    <w:rsid w:val="2F3E191F"/>
    <w:rsid w:val="2F436846"/>
    <w:rsid w:val="2F4556CE"/>
    <w:rsid w:val="2F6F3C93"/>
    <w:rsid w:val="2F754A27"/>
    <w:rsid w:val="2F8135BA"/>
    <w:rsid w:val="2FB1448A"/>
    <w:rsid w:val="2FC35981"/>
    <w:rsid w:val="2FC802AE"/>
    <w:rsid w:val="2FCC29AF"/>
    <w:rsid w:val="2FCC2A87"/>
    <w:rsid w:val="2FF65D56"/>
    <w:rsid w:val="30030473"/>
    <w:rsid w:val="301601A6"/>
    <w:rsid w:val="301C41BF"/>
    <w:rsid w:val="301D7D6A"/>
    <w:rsid w:val="302369A0"/>
    <w:rsid w:val="302D1273"/>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7D75DF"/>
    <w:rsid w:val="3198056E"/>
    <w:rsid w:val="31A00DEF"/>
    <w:rsid w:val="31CD31BF"/>
    <w:rsid w:val="31D72AD0"/>
    <w:rsid w:val="31DA47D7"/>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761098"/>
    <w:rsid w:val="327A27F8"/>
    <w:rsid w:val="32867865"/>
    <w:rsid w:val="328916BE"/>
    <w:rsid w:val="32974C7A"/>
    <w:rsid w:val="32A0797E"/>
    <w:rsid w:val="32B23857"/>
    <w:rsid w:val="32B75C71"/>
    <w:rsid w:val="32BB4ABE"/>
    <w:rsid w:val="32C24615"/>
    <w:rsid w:val="32C642E9"/>
    <w:rsid w:val="32C83D55"/>
    <w:rsid w:val="32C8549C"/>
    <w:rsid w:val="32CA16D9"/>
    <w:rsid w:val="32DA54BB"/>
    <w:rsid w:val="32E83928"/>
    <w:rsid w:val="32F45590"/>
    <w:rsid w:val="331C19F3"/>
    <w:rsid w:val="331F55C4"/>
    <w:rsid w:val="33240E2C"/>
    <w:rsid w:val="33307EBA"/>
    <w:rsid w:val="33380434"/>
    <w:rsid w:val="334C6C58"/>
    <w:rsid w:val="33577373"/>
    <w:rsid w:val="335C6818"/>
    <w:rsid w:val="336A419B"/>
    <w:rsid w:val="336A59CC"/>
    <w:rsid w:val="336D61B2"/>
    <w:rsid w:val="33773188"/>
    <w:rsid w:val="337E77C9"/>
    <w:rsid w:val="338F53C2"/>
    <w:rsid w:val="33925662"/>
    <w:rsid w:val="339B7AA1"/>
    <w:rsid w:val="33B71CA0"/>
    <w:rsid w:val="33B7637D"/>
    <w:rsid w:val="33CF2056"/>
    <w:rsid w:val="33D4661F"/>
    <w:rsid w:val="33D8534E"/>
    <w:rsid w:val="33ED39C2"/>
    <w:rsid w:val="3402309A"/>
    <w:rsid w:val="340F56DE"/>
    <w:rsid w:val="342235BE"/>
    <w:rsid w:val="3425597D"/>
    <w:rsid w:val="342804A8"/>
    <w:rsid w:val="342A5DF5"/>
    <w:rsid w:val="34331D5F"/>
    <w:rsid w:val="3434509F"/>
    <w:rsid w:val="343819DA"/>
    <w:rsid w:val="344851FD"/>
    <w:rsid w:val="346A0AC1"/>
    <w:rsid w:val="34833DD7"/>
    <w:rsid w:val="34993CA2"/>
    <w:rsid w:val="349B5E0E"/>
    <w:rsid w:val="34A432B6"/>
    <w:rsid w:val="34AA020B"/>
    <w:rsid w:val="34B451A4"/>
    <w:rsid w:val="34B5782A"/>
    <w:rsid w:val="34B66335"/>
    <w:rsid w:val="34BC17DA"/>
    <w:rsid w:val="34C77CC1"/>
    <w:rsid w:val="34D015E3"/>
    <w:rsid w:val="34DA3E98"/>
    <w:rsid w:val="34DA5C46"/>
    <w:rsid w:val="34E431E1"/>
    <w:rsid w:val="34F85DA8"/>
    <w:rsid w:val="3509398E"/>
    <w:rsid w:val="350C1B78"/>
    <w:rsid w:val="35134CB4"/>
    <w:rsid w:val="3524459F"/>
    <w:rsid w:val="3547266B"/>
    <w:rsid w:val="35496928"/>
    <w:rsid w:val="3554479E"/>
    <w:rsid w:val="35610116"/>
    <w:rsid w:val="357A3162"/>
    <w:rsid w:val="357D63E5"/>
    <w:rsid w:val="357E0BE0"/>
    <w:rsid w:val="357F00D0"/>
    <w:rsid w:val="357F5723"/>
    <w:rsid w:val="35803742"/>
    <w:rsid w:val="35894506"/>
    <w:rsid w:val="35973B37"/>
    <w:rsid w:val="35A377DB"/>
    <w:rsid w:val="35AC6162"/>
    <w:rsid w:val="35DA3A24"/>
    <w:rsid w:val="35E1407C"/>
    <w:rsid w:val="35E7387F"/>
    <w:rsid w:val="35E81F7A"/>
    <w:rsid w:val="35EF4AF5"/>
    <w:rsid w:val="35F52BF3"/>
    <w:rsid w:val="35F5713F"/>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CE160A"/>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65E3F"/>
    <w:rsid w:val="38A94911"/>
    <w:rsid w:val="38AE496C"/>
    <w:rsid w:val="38B54D45"/>
    <w:rsid w:val="38C74734"/>
    <w:rsid w:val="38D242CD"/>
    <w:rsid w:val="38D961FA"/>
    <w:rsid w:val="38DE5455"/>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BD262D"/>
    <w:rsid w:val="39C40C73"/>
    <w:rsid w:val="39CB3B9A"/>
    <w:rsid w:val="39E17621"/>
    <w:rsid w:val="39E44E71"/>
    <w:rsid w:val="39F227B1"/>
    <w:rsid w:val="3A002A5F"/>
    <w:rsid w:val="3A0D261A"/>
    <w:rsid w:val="3A151290"/>
    <w:rsid w:val="3A201663"/>
    <w:rsid w:val="3A257964"/>
    <w:rsid w:val="3A292038"/>
    <w:rsid w:val="3A3712E8"/>
    <w:rsid w:val="3A3A2CE3"/>
    <w:rsid w:val="3A410516"/>
    <w:rsid w:val="3A4A1178"/>
    <w:rsid w:val="3A4D181F"/>
    <w:rsid w:val="3A524E6B"/>
    <w:rsid w:val="3A5C70FE"/>
    <w:rsid w:val="3A695377"/>
    <w:rsid w:val="3A762A49"/>
    <w:rsid w:val="3A7C154E"/>
    <w:rsid w:val="3A826354"/>
    <w:rsid w:val="3A8522B8"/>
    <w:rsid w:val="3A914FF9"/>
    <w:rsid w:val="3A9D28F5"/>
    <w:rsid w:val="3AAA60BB"/>
    <w:rsid w:val="3AAB25D8"/>
    <w:rsid w:val="3AC54CA3"/>
    <w:rsid w:val="3ACD43C9"/>
    <w:rsid w:val="3AEE2C6F"/>
    <w:rsid w:val="3AF47336"/>
    <w:rsid w:val="3AFF2C64"/>
    <w:rsid w:val="3B010619"/>
    <w:rsid w:val="3B135A0E"/>
    <w:rsid w:val="3B2F69DB"/>
    <w:rsid w:val="3B37164A"/>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05003"/>
    <w:rsid w:val="3C37637A"/>
    <w:rsid w:val="3C447E49"/>
    <w:rsid w:val="3C4A12AD"/>
    <w:rsid w:val="3C5125FC"/>
    <w:rsid w:val="3C666012"/>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4024D7"/>
    <w:rsid w:val="3D624A2B"/>
    <w:rsid w:val="3D7A2818"/>
    <w:rsid w:val="3D7B3D3F"/>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D768E8"/>
    <w:rsid w:val="3FE03B95"/>
    <w:rsid w:val="3FED63B1"/>
    <w:rsid w:val="40031733"/>
    <w:rsid w:val="40076D3D"/>
    <w:rsid w:val="400B13AA"/>
    <w:rsid w:val="400C6ED0"/>
    <w:rsid w:val="400F3658"/>
    <w:rsid w:val="40112738"/>
    <w:rsid w:val="401F65F0"/>
    <w:rsid w:val="402B37FA"/>
    <w:rsid w:val="4033445D"/>
    <w:rsid w:val="404228F2"/>
    <w:rsid w:val="404470DB"/>
    <w:rsid w:val="40464190"/>
    <w:rsid w:val="40477F08"/>
    <w:rsid w:val="404C2292"/>
    <w:rsid w:val="405D572D"/>
    <w:rsid w:val="406B52E0"/>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80BC7"/>
    <w:rsid w:val="445A5900"/>
    <w:rsid w:val="446A440B"/>
    <w:rsid w:val="44831552"/>
    <w:rsid w:val="4488746D"/>
    <w:rsid w:val="44912DD9"/>
    <w:rsid w:val="449E0C50"/>
    <w:rsid w:val="44A72CB4"/>
    <w:rsid w:val="44DC0CFE"/>
    <w:rsid w:val="44DC4FCA"/>
    <w:rsid w:val="44FC7513"/>
    <w:rsid w:val="44FD1C6D"/>
    <w:rsid w:val="45245377"/>
    <w:rsid w:val="453F207E"/>
    <w:rsid w:val="454276A8"/>
    <w:rsid w:val="454513E5"/>
    <w:rsid w:val="45465AD9"/>
    <w:rsid w:val="45552589"/>
    <w:rsid w:val="455D7601"/>
    <w:rsid w:val="45637F73"/>
    <w:rsid w:val="457C4AF8"/>
    <w:rsid w:val="458759CA"/>
    <w:rsid w:val="45A100BA"/>
    <w:rsid w:val="45A31600"/>
    <w:rsid w:val="45A51959"/>
    <w:rsid w:val="45E526C2"/>
    <w:rsid w:val="45E81B6F"/>
    <w:rsid w:val="45EC57D9"/>
    <w:rsid w:val="45EF5694"/>
    <w:rsid w:val="45F32D75"/>
    <w:rsid w:val="45FE4441"/>
    <w:rsid w:val="460934CE"/>
    <w:rsid w:val="460C5E7C"/>
    <w:rsid w:val="461F685B"/>
    <w:rsid w:val="463A35BA"/>
    <w:rsid w:val="464078D3"/>
    <w:rsid w:val="464478D6"/>
    <w:rsid w:val="4658048C"/>
    <w:rsid w:val="46594972"/>
    <w:rsid w:val="466640DD"/>
    <w:rsid w:val="46684A41"/>
    <w:rsid w:val="466C691A"/>
    <w:rsid w:val="46763AFA"/>
    <w:rsid w:val="469152E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B2426"/>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224986"/>
    <w:rsid w:val="485803F1"/>
    <w:rsid w:val="485E2C28"/>
    <w:rsid w:val="4865215C"/>
    <w:rsid w:val="486942C4"/>
    <w:rsid w:val="487B552A"/>
    <w:rsid w:val="48842F37"/>
    <w:rsid w:val="488B752C"/>
    <w:rsid w:val="48A34F21"/>
    <w:rsid w:val="48B05292"/>
    <w:rsid w:val="48B971DC"/>
    <w:rsid w:val="48EF0210"/>
    <w:rsid w:val="48F556EA"/>
    <w:rsid w:val="490B241B"/>
    <w:rsid w:val="491946D3"/>
    <w:rsid w:val="4922747B"/>
    <w:rsid w:val="4924047E"/>
    <w:rsid w:val="49276380"/>
    <w:rsid w:val="493A4AAE"/>
    <w:rsid w:val="49441489"/>
    <w:rsid w:val="49470D20"/>
    <w:rsid w:val="4948117F"/>
    <w:rsid w:val="494B0B0D"/>
    <w:rsid w:val="49503E42"/>
    <w:rsid w:val="49553696"/>
    <w:rsid w:val="49690EEF"/>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80DFB"/>
    <w:rsid w:val="4A2D1B99"/>
    <w:rsid w:val="4A343D11"/>
    <w:rsid w:val="4A413C1A"/>
    <w:rsid w:val="4A4551BE"/>
    <w:rsid w:val="4A497D35"/>
    <w:rsid w:val="4A531EB2"/>
    <w:rsid w:val="4A657908"/>
    <w:rsid w:val="4A696D93"/>
    <w:rsid w:val="4A8A37D8"/>
    <w:rsid w:val="4A8B4AB2"/>
    <w:rsid w:val="4AB16FF2"/>
    <w:rsid w:val="4AD7435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4E65EF"/>
    <w:rsid w:val="4B625BF7"/>
    <w:rsid w:val="4B810772"/>
    <w:rsid w:val="4B8464B4"/>
    <w:rsid w:val="4B895879"/>
    <w:rsid w:val="4B8E3DC5"/>
    <w:rsid w:val="4BB21AF4"/>
    <w:rsid w:val="4BB54107"/>
    <w:rsid w:val="4BB67EEE"/>
    <w:rsid w:val="4BD17814"/>
    <w:rsid w:val="4BDC5109"/>
    <w:rsid w:val="4BE8259F"/>
    <w:rsid w:val="4BE84FA7"/>
    <w:rsid w:val="4BF70C92"/>
    <w:rsid w:val="4BFB5105"/>
    <w:rsid w:val="4BFD0513"/>
    <w:rsid w:val="4C005E77"/>
    <w:rsid w:val="4C1A02C6"/>
    <w:rsid w:val="4C2B76C1"/>
    <w:rsid w:val="4C2C2DD4"/>
    <w:rsid w:val="4C5419A1"/>
    <w:rsid w:val="4C5429A3"/>
    <w:rsid w:val="4C645A11"/>
    <w:rsid w:val="4C845B43"/>
    <w:rsid w:val="4C87254B"/>
    <w:rsid w:val="4C9149E5"/>
    <w:rsid w:val="4CBD57DA"/>
    <w:rsid w:val="4CD46FC7"/>
    <w:rsid w:val="4CDE4416"/>
    <w:rsid w:val="4D004DF6"/>
    <w:rsid w:val="4D110FBB"/>
    <w:rsid w:val="4D1C2C8C"/>
    <w:rsid w:val="4D1E77BE"/>
    <w:rsid w:val="4D245FC5"/>
    <w:rsid w:val="4D2B3B2C"/>
    <w:rsid w:val="4D40640B"/>
    <w:rsid w:val="4D706CF0"/>
    <w:rsid w:val="4D8046B5"/>
    <w:rsid w:val="4D813526"/>
    <w:rsid w:val="4D937C18"/>
    <w:rsid w:val="4DA943B0"/>
    <w:rsid w:val="4DC515BB"/>
    <w:rsid w:val="4DCB5984"/>
    <w:rsid w:val="4DD64458"/>
    <w:rsid w:val="4DDD4E1A"/>
    <w:rsid w:val="4DE00A28"/>
    <w:rsid w:val="4DE84AD8"/>
    <w:rsid w:val="4DF548FC"/>
    <w:rsid w:val="4DF55A74"/>
    <w:rsid w:val="4E0D09E3"/>
    <w:rsid w:val="4E135BFA"/>
    <w:rsid w:val="4E1B2DDB"/>
    <w:rsid w:val="4E1F15EB"/>
    <w:rsid w:val="4E223D2B"/>
    <w:rsid w:val="4E250E8C"/>
    <w:rsid w:val="4E347D1E"/>
    <w:rsid w:val="4E355E12"/>
    <w:rsid w:val="4E50159D"/>
    <w:rsid w:val="4E5A7AD3"/>
    <w:rsid w:val="4E5D7C3A"/>
    <w:rsid w:val="4E8D762E"/>
    <w:rsid w:val="4E9B1112"/>
    <w:rsid w:val="4EA06365"/>
    <w:rsid w:val="4EA8347A"/>
    <w:rsid w:val="4EBD3915"/>
    <w:rsid w:val="4EC866B8"/>
    <w:rsid w:val="4ECD54B1"/>
    <w:rsid w:val="4ED1099E"/>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975776"/>
    <w:rsid w:val="4FB21842"/>
    <w:rsid w:val="4FB75BBE"/>
    <w:rsid w:val="4FB8211B"/>
    <w:rsid w:val="4FCA5221"/>
    <w:rsid w:val="4FDE2637"/>
    <w:rsid w:val="4FED0FB9"/>
    <w:rsid w:val="4FF01E38"/>
    <w:rsid w:val="500A342C"/>
    <w:rsid w:val="502F5BB5"/>
    <w:rsid w:val="502F7384"/>
    <w:rsid w:val="50324731"/>
    <w:rsid w:val="50551F6B"/>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515A2"/>
    <w:rsid w:val="52660A26"/>
    <w:rsid w:val="52717995"/>
    <w:rsid w:val="528315FB"/>
    <w:rsid w:val="528374C6"/>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34805"/>
    <w:rsid w:val="5325057D"/>
    <w:rsid w:val="532B1547"/>
    <w:rsid w:val="532C2C22"/>
    <w:rsid w:val="533E6E17"/>
    <w:rsid w:val="5343182D"/>
    <w:rsid w:val="53552E21"/>
    <w:rsid w:val="53585F18"/>
    <w:rsid w:val="535D3886"/>
    <w:rsid w:val="536621CA"/>
    <w:rsid w:val="53692CAC"/>
    <w:rsid w:val="536C4A63"/>
    <w:rsid w:val="5370275D"/>
    <w:rsid w:val="539B26A9"/>
    <w:rsid w:val="53A201DA"/>
    <w:rsid w:val="53B22D34"/>
    <w:rsid w:val="53B6236C"/>
    <w:rsid w:val="53BC2C8F"/>
    <w:rsid w:val="53BD6F30"/>
    <w:rsid w:val="53FD5056"/>
    <w:rsid w:val="540208BE"/>
    <w:rsid w:val="540540F5"/>
    <w:rsid w:val="540B32CF"/>
    <w:rsid w:val="540C7047"/>
    <w:rsid w:val="541A5C08"/>
    <w:rsid w:val="54231D7C"/>
    <w:rsid w:val="54256C07"/>
    <w:rsid w:val="542913B3"/>
    <w:rsid w:val="543A39C2"/>
    <w:rsid w:val="543F18BA"/>
    <w:rsid w:val="545F2D48"/>
    <w:rsid w:val="54606BAB"/>
    <w:rsid w:val="54837309"/>
    <w:rsid w:val="54883400"/>
    <w:rsid w:val="54932F58"/>
    <w:rsid w:val="54A243B8"/>
    <w:rsid w:val="54A81CB5"/>
    <w:rsid w:val="54AF4262"/>
    <w:rsid w:val="54C41B11"/>
    <w:rsid w:val="54C92123"/>
    <w:rsid w:val="54D45DB6"/>
    <w:rsid w:val="54DF6509"/>
    <w:rsid w:val="55050666"/>
    <w:rsid w:val="55094F55"/>
    <w:rsid w:val="550E49C6"/>
    <w:rsid w:val="55124B31"/>
    <w:rsid w:val="55160C9A"/>
    <w:rsid w:val="55346855"/>
    <w:rsid w:val="556679A7"/>
    <w:rsid w:val="559E0172"/>
    <w:rsid w:val="55A256E3"/>
    <w:rsid w:val="55A47D96"/>
    <w:rsid w:val="55A732F5"/>
    <w:rsid w:val="55C94049"/>
    <w:rsid w:val="55DA287E"/>
    <w:rsid w:val="55DC05B3"/>
    <w:rsid w:val="55DD1819"/>
    <w:rsid w:val="55EE6DAD"/>
    <w:rsid w:val="55F34962"/>
    <w:rsid w:val="56050CCF"/>
    <w:rsid w:val="56073162"/>
    <w:rsid w:val="56075AA4"/>
    <w:rsid w:val="5609127C"/>
    <w:rsid w:val="561843C9"/>
    <w:rsid w:val="56243B92"/>
    <w:rsid w:val="562E1EDA"/>
    <w:rsid w:val="56336B0D"/>
    <w:rsid w:val="563D619D"/>
    <w:rsid w:val="56413F2B"/>
    <w:rsid w:val="564C7BCE"/>
    <w:rsid w:val="56537C47"/>
    <w:rsid w:val="565E627F"/>
    <w:rsid w:val="56625644"/>
    <w:rsid w:val="56A010C0"/>
    <w:rsid w:val="56B96B8E"/>
    <w:rsid w:val="56C747B5"/>
    <w:rsid w:val="56CC3A96"/>
    <w:rsid w:val="56D42684"/>
    <w:rsid w:val="56DD2471"/>
    <w:rsid w:val="56E01510"/>
    <w:rsid w:val="56F444EE"/>
    <w:rsid w:val="571974A0"/>
    <w:rsid w:val="57210A6D"/>
    <w:rsid w:val="57387588"/>
    <w:rsid w:val="5744214A"/>
    <w:rsid w:val="574B480A"/>
    <w:rsid w:val="57543081"/>
    <w:rsid w:val="575925A3"/>
    <w:rsid w:val="5789649C"/>
    <w:rsid w:val="57A373F0"/>
    <w:rsid w:val="57AF09B6"/>
    <w:rsid w:val="57C83C57"/>
    <w:rsid w:val="57CD2983"/>
    <w:rsid w:val="57FB2FB4"/>
    <w:rsid w:val="581A61D6"/>
    <w:rsid w:val="582028C2"/>
    <w:rsid w:val="582908A2"/>
    <w:rsid w:val="58382B00"/>
    <w:rsid w:val="583D07DD"/>
    <w:rsid w:val="58490869"/>
    <w:rsid w:val="5858657E"/>
    <w:rsid w:val="585A2A77"/>
    <w:rsid w:val="585D2567"/>
    <w:rsid w:val="585F1862"/>
    <w:rsid w:val="58620D26"/>
    <w:rsid w:val="58694A68"/>
    <w:rsid w:val="586B07E0"/>
    <w:rsid w:val="586D00C3"/>
    <w:rsid w:val="58706FB1"/>
    <w:rsid w:val="587C5983"/>
    <w:rsid w:val="588F3D7B"/>
    <w:rsid w:val="58C223CA"/>
    <w:rsid w:val="58E8415E"/>
    <w:rsid w:val="58ED1995"/>
    <w:rsid w:val="58ED4BF9"/>
    <w:rsid w:val="58FB7E18"/>
    <w:rsid w:val="58FF1A45"/>
    <w:rsid w:val="59083F15"/>
    <w:rsid w:val="591578E8"/>
    <w:rsid w:val="591C41D0"/>
    <w:rsid w:val="591C580B"/>
    <w:rsid w:val="591E5F09"/>
    <w:rsid w:val="5926497A"/>
    <w:rsid w:val="592941F7"/>
    <w:rsid w:val="592A1893"/>
    <w:rsid w:val="593A27C1"/>
    <w:rsid w:val="593F3A1A"/>
    <w:rsid w:val="595D3E12"/>
    <w:rsid w:val="598D4177"/>
    <w:rsid w:val="59961EFB"/>
    <w:rsid w:val="59964B0E"/>
    <w:rsid w:val="59A11353"/>
    <w:rsid w:val="59A815C0"/>
    <w:rsid w:val="59AE3965"/>
    <w:rsid w:val="59B40569"/>
    <w:rsid w:val="59BB5428"/>
    <w:rsid w:val="59CD7278"/>
    <w:rsid w:val="59D16D68"/>
    <w:rsid w:val="59D80DBD"/>
    <w:rsid w:val="59EF3692"/>
    <w:rsid w:val="5A0336C4"/>
    <w:rsid w:val="5A1D0D82"/>
    <w:rsid w:val="5A1F7AD4"/>
    <w:rsid w:val="5A20315B"/>
    <w:rsid w:val="5A2934C9"/>
    <w:rsid w:val="5A3B2D8E"/>
    <w:rsid w:val="5A4C2893"/>
    <w:rsid w:val="5A5009C7"/>
    <w:rsid w:val="5A51593C"/>
    <w:rsid w:val="5A5229A5"/>
    <w:rsid w:val="5A5827FE"/>
    <w:rsid w:val="5A6951F3"/>
    <w:rsid w:val="5A70211C"/>
    <w:rsid w:val="5A9164F8"/>
    <w:rsid w:val="5AA147E3"/>
    <w:rsid w:val="5AA47FD9"/>
    <w:rsid w:val="5AAB2A29"/>
    <w:rsid w:val="5AAB3211"/>
    <w:rsid w:val="5AAC7307"/>
    <w:rsid w:val="5AB86388"/>
    <w:rsid w:val="5ABF41C0"/>
    <w:rsid w:val="5ACA577B"/>
    <w:rsid w:val="5ACE5056"/>
    <w:rsid w:val="5AD07CB2"/>
    <w:rsid w:val="5ADE1CCB"/>
    <w:rsid w:val="5AE37CAA"/>
    <w:rsid w:val="5AEC372E"/>
    <w:rsid w:val="5AEF1DC1"/>
    <w:rsid w:val="5AFB78A6"/>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00249"/>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96BA8"/>
    <w:rsid w:val="5D7C5A81"/>
    <w:rsid w:val="5DAD18E5"/>
    <w:rsid w:val="5DB20097"/>
    <w:rsid w:val="5DB46388"/>
    <w:rsid w:val="5DD31E8F"/>
    <w:rsid w:val="5DDF2196"/>
    <w:rsid w:val="5DF34DCF"/>
    <w:rsid w:val="5DF704AE"/>
    <w:rsid w:val="5DF954B7"/>
    <w:rsid w:val="5DFD2403"/>
    <w:rsid w:val="5DFF05CD"/>
    <w:rsid w:val="5E1672C2"/>
    <w:rsid w:val="5E1756C6"/>
    <w:rsid w:val="5E1B6033"/>
    <w:rsid w:val="5E1E5EED"/>
    <w:rsid w:val="5E2612F9"/>
    <w:rsid w:val="5E287173"/>
    <w:rsid w:val="5E2C27BF"/>
    <w:rsid w:val="5E32399F"/>
    <w:rsid w:val="5E534129"/>
    <w:rsid w:val="5E5835B4"/>
    <w:rsid w:val="5E5F3A74"/>
    <w:rsid w:val="5E6E3C24"/>
    <w:rsid w:val="5E7255BD"/>
    <w:rsid w:val="5E7D46AF"/>
    <w:rsid w:val="5E8819C0"/>
    <w:rsid w:val="5E891521"/>
    <w:rsid w:val="5E937CCC"/>
    <w:rsid w:val="5E9C6226"/>
    <w:rsid w:val="5EBA601D"/>
    <w:rsid w:val="5EF83794"/>
    <w:rsid w:val="5F0173CC"/>
    <w:rsid w:val="5F1A1A93"/>
    <w:rsid w:val="5F1D3030"/>
    <w:rsid w:val="5F287F7E"/>
    <w:rsid w:val="5F374C3D"/>
    <w:rsid w:val="5F3833E6"/>
    <w:rsid w:val="5F4315DF"/>
    <w:rsid w:val="5F465B03"/>
    <w:rsid w:val="5F475677"/>
    <w:rsid w:val="5F484198"/>
    <w:rsid w:val="5F567498"/>
    <w:rsid w:val="5F6E0BB6"/>
    <w:rsid w:val="5F7D71F9"/>
    <w:rsid w:val="5F8420E2"/>
    <w:rsid w:val="5F8623A3"/>
    <w:rsid w:val="5F887220"/>
    <w:rsid w:val="5F9022AB"/>
    <w:rsid w:val="5FAA3356"/>
    <w:rsid w:val="5FB213EA"/>
    <w:rsid w:val="5FB81E56"/>
    <w:rsid w:val="5FC209CF"/>
    <w:rsid w:val="5FCB1BCC"/>
    <w:rsid w:val="5FD85FDC"/>
    <w:rsid w:val="5FDB068E"/>
    <w:rsid w:val="5FE33352"/>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2C2FD4"/>
    <w:rsid w:val="613170F5"/>
    <w:rsid w:val="61432D9E"/>
    <w:rsid w:val="614623F7"/>
    <w:rsid w:val="615D3929"/>
    <w:rsid w:val="61683AEB"/>
    <w:rsid w:val="618A70BC"/>
    <w:rsid w:val="618D5E50"/>
    <w:rsid w:val="618F442A"/>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9C5FF1"/>
    <w:rsid w:val="62A3326C"/>
    <w:rsid w:val="62AD5503"/>
    <w:rsid w:val="62BD60DC"/>
    <w:rsid w:val="62C4481D"/>
    <w:rsid w:val="62C622F5"/>
    <w:rsid w:val="62CF7C87"/>
    <w:rsid w:val="62D11B87"/>
    <w:rsid w:val="62D12F65"/>
    <w:rsid w:val="62F20D03"/>
    <w:rsid w:val="62F26EC0"/>
    <w:rsid w:val="62F75B83"/>
    <w:rsid w:val="62FC3643"/>
    <w:rsid w:val="62FF4946"/>
    <w:rsid w:val="6300246C"/>
    <w:rsid w:val="63095375"/>
    <w:rsid w:val="6312135F"/>
    <w:rsid w:val="63224191"/>
    <w:rsid w:val="632A3D0D"/>
    <w:rsid w:val="633443AB"/>
    <w:rsid w:val="63414C0F"/>
    <w:rsid w:val="63424F7E"/>
    <w:rsid w:val="63510A38"/>
    <w:rsid w:val="6353750E"/>
    <w:rsid w:val="637569B7"/>
    <w:rsid w:val="637F5A87"/>
    <w:rsid w:val="638857E1"/>
    <w:rsid w:val="63977DC5"/>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3E5275"/>
    <w:rsid w:val="64524F4A"/>
    <w:rsid w:val="64591E34"/>
    <w:rsid w:val="647527CB"/>
    <w:rsid w:val="647C3D75"/>
    <w:rsid w:val="648A0F84"/>
    <w:rsid w:val="648E4974"/>
    <w:rsid w:val="648F4377"/>
    <w:rsid w:val="64994927"/>
    <w:rsid w:val="649E65A7"/>
    <w:rsid w:val="64B47494"/>
    <w:rsid w:val="64B70C4D"/>
    <w:rsid w:val="64CE386A"/>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516BA"/>
    <w:rsid w:val="655A5E64"/>
    <w:rsid w:val="656A4332"/>
    <w:rsid w:val="65733372"/>
    <w:rsid w:val="65744876"/>
    <w:rsid w:val="65772C72"/>
    <w:rsid w:val="657845AE"/>
    <w:rsid w:val="6579224B"/>
    <w:rsid w:val="657C502B"/>
    <w:rsid w:val="657C58B7"/>
    <w:rsid w:val="65991D3E"/>
    <w:rsid w:val="659E280B"/>
    <w:rsid w:val="65B74A52"/>
    <w:rsid w:val="65B80DDC"/>
    <w:rsid w:val="65BD55BD"/>
    <w:rsid w:val="65C53449"/>
    <w:rsid w:val="65D2305C"/>
    <w:rsid w:val="65E95FFB"/>
    <w:rsid w:val="65F27286"/>
    <w:rsid w:val="65FE2E65"/>
    <w:rsid w:val="6602655A"/>
    <w:rsid w:val="66037BA1"/>
    <w:rsid w:val="660D45C7"/>
    <w:rsid w:val="661D5E7A"/>
    <w:rsid w:val="66280ABB"/>
    <w:rsid w:val="662B0FC4"/>
    <w:rsid w:val="6660394E"/>
    <w:rsid w:val="666717B3"/>
    <w:rsid w:val="6668032B"/>
    <w:rsid w:val="666E3F1F"/>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700BB"/>
    <w:rsid w:val="677D4B8A"/>
    <w:rsid w:val="67802ACE"/>
    <w:rsid w:val="67804B33"/>
    <w:rsid w:val="67A755AC"/>
    <w:rsid w:val="67BE4CCD"/>
    <w:rsid w:val="67C40A09"/>
    <w:rsid w:val="67D020A7"/>
    <w:rsid w:val="67D600B8"/>
    <w:rsid w:val="67E4087E"/>
    <w:rsid w:val="67EC2FBF"/>
    <w:rsid w:val="68060D49"/>
    <w:rsid w:val="680B1B92"/>
    <w:rsid w:val="6821192D"/>
    <w:rsid w:val="682732A7"/>
    <w:rsid w:val="68337E89"/>
    <w:rsid w:val="68337EE8"/>
    <w:rsid w:val="683A6C76"/>
    <w:rsid w:val="683C3F47"/>
    <w:rsid w:val="683E6A34"/>
    <w:rsid w:val="685C5B46"/>
    <w:rsid w:val="685E6B05"/>
    <w:rsid w:val="68633281"/>
    <w:rsid w:val="686F1486"/>
    <w:rsid w:val="687C4343"/>
    <w:rsid w:val="6888718C"/>
    <w:rsid w:val="688C0656"/>
    <w:rsid w:val="68953657"/>
    <w:rsid w:val="68AE1735"/>
    <w:rsid w:val="68B72950"/>
    <w:rsid w:val="68D60630"/>
    <w:rsid w:val="68E00D76"/>
    <w:rsid w:val="68ED6FEF"/>
    <w:rsid w:val="68F00432"/>
    <w:rsid w:val="68F8555D"/>
    <w:rsid w:val="691D712E"/>
    <w:rsid w:val="691F393C"/>
    <w:rsid w:val="6931512E"/>
    <w:rsid w:val="693D7F76"/>
    <w:rsid w:val="694A4441"/>
    <w:rsid w:val="69562DE6"/>
    <w:rsid w:val="697E7396"/>
    <w:rsid w:val="69A009FE"/>
    <w:rsid w:val="69A729C5"/>
    <w:rsid w:val="69BD10B7"/>
    <w:rsid w:val="69BE2739"/>
    <w:rsid w:val="69BF206E"/>
    <w:rsid w:val="69E46DF1"/>
    <w:rsid w:val="69E55F18"/>
    <w:rsid w:val="69E8174D"/>
    <w:rsid w:val="69EB7655"/>
    <w:rsid w:val="69F66247"/>
    <w:rsid w:val="69F820EF"/>
    <w:rsid w:val="69F86AAF"/>
    <w:rsid w:val="6A08670B"/>
    <w:rsid w:val="6A0E546F"/>
    <w:rsid w:val="6A1F6154"/>
    <w:rsid w:val="6A2746CC"/>
    <w:rsid w:val="6A367BF0"/>
    <w:rsid w:val="6A4F7CF0"/>
    <w:rsid w:val="6A5517EC"/>
    <w:rsid w:val="6A6634FD"/>
    <w:rsid w:val="6A694BA1"/>
    <w:rsid w:val="6A734205"/>
    <w:rsid w:val="6A804B8C"/>
    <w:rsid w:val="6A8F1913"/>
    <w:rsid w:val="6A995680"/>
    <w:rsid w:val="6ABC3292"/>
    <w:rsid w:val="6AC04F0B"/>
    <w:rsid w:val="6AD00976"/>
    <w:rsid w:val="6AD34458"/>
    <w:rsid w:val="6AD77F57"/>
    <w:rsid w:val="6ADA35A3"/>
    <w:rsid w:val="6ADC4801"/>
    <w:rsid w:val="6ADF25FC"/>
    <w:rsid w:val="6AEF704E"/>
    <w:rsid w:val="6AF01018"/>
    <w:rsid w:val="6AF97ECD"/>
    <w:rsid w:val="6B020CD0"/>
    <w:rsid w:val="6B1148AC"/>
    <w:rsid w:val="6B1E7934"/>
    <w:rsid w:val="6B27444D"/>
    <w:rsid w:val="6B3929BF"/>
    <w:rsid w:val="6B3E0351"/>
    <w:rsid w:val="6B42449D"/>
    <w:rsid w:val="6B4A5562"/>
    <w:rsid w:val="6B4C26F3"/>
    <w:rsid w:val="6B4D1FC7"/>
    <w:rsid w:val="6B565807"/>
    <w:rsid w:val="6B5925FD"/>
    <w:rsid w:val="6B5B2936"/>
    <w:rsid w:val="6B6537B4"/>
    <w:rsid w:val="6B685053"/>
    <w:rsid w:val="6B7174EC"/>
    <w:rsid w:val="6B7A369F"/>
    <w:rsid w:val="6B8022B7"/>
    <w:rsid w:val="6BA33A98"/>
    <w:rsid w:val="6BAC2823"/>
    <w:rsid w:val="6BBD5024"/>
    <w:rsid w:val="6BC404DB"/>
    <w:rsid w:val="6BF37DF1"/>
    <w:rsid w:val="6BF863D7"/>
    <w:rsid w:val="6C2076DB"/>
    <w:rsid w:val="6C272818"/>
    <w:rsid w:val="6C343972"/>
    <w:rsid w:val="6C5555D7"/>
    <w:rsid w:val="6C630CE9"/>
    <w:rsid w:val="6C727F37"/>
    <w:rsid w:val="6C914CAA"/>
    <w:rsid w:val="6C9E1278"/>
    <w:rsid w:val="6CB46277"/>
    <w:rsid w:val="6CB56076"/>
    <w:rsid w:val="6CB57E24"/>
    <w:rsid w:val="6CC22541"/>
    <w:rsid w:val="6CCC3665"/>
    <w:rsid w:val="6CD34AAD"/>
    <w:rsid w:val="6CEC0F34"/>
    <w:rsid w:val="6CF56E43"/>
    <w:rsid w:val="6CF73CA4"/>
    <w:rsid w:val="6D005FF7"/>
    <w:rsid w:val="6D021C57"/>
    <w:rsid w:val="6D05105B"/>
    <w:rsid w:val="6D207FCD"/>
    <w:rsid w:val="6D280C36"/>
    <w:rsid w:val="6D286C4C"/>
    <w:rsid w:val="6D2B5B01"/>
    <w:rsid w:val="6D350F65"/>
    <w:rsid w:val="6D36363D"/>
    <w:rsid w:val="6D381497"/>
    <w:rsid w:val="6D392803"/>
    <w:rsid w:val="6D6103FD"/>
    <w:rsid w:val="6D632F47"/>
    <w:rsid w:val="6D6811E3"/>
    <w:rsid w:val="6D6A2DB3"/>
    <w:rsid w:val="6D6A69AA"/>
    <w:rsid w:val="6D79127B"/>
    <w:rsid w:val="6D832281"/>
    <w:rsid w:val="6D87693B"/>
    <w:rsid w:val="6D9F0094"/>
    <w:rsid w:val="6DAA1659"/>
    <w:rsid w:val="6DAF51BB"/>
    <w:rsid w:val="6DC237AE"/>
    <w:rsid w:val="6DD218A4"/>
    <w:rsid w:val="6DE07298"/>
    <w:rsid w:val="6DEB5586"/>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CB392F"/>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26F82"/>
    <w:rsid w:val="6FE23626"/>
    <w:rsid w:val="6FE50A20"/>
    <w:rsid w:val="6FEB7EFB"/>
    <w:rsid w:val="6FED0208"/>
    <w:rsid w:val="700148B1"/>
    <w:rsid w:val="700708F2"/>
    <w:rsid w:val="70262445"/>
    <w:rsid w:val="702F49B2"/>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4C4258"/>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336A7"/>
    <w:rsid w:val="727442DD"/>
    <w:rsid w:val="727560F9"/>
    <w:rsid w:val="727C4FA3"/>
    <w:rsid w:val="728E7595"/>
    <w:rsid w:val="72A70177"/>
    <w:rsid w:val="72CD2240"/>
    <w:rsid w:val="72D148D9"/>
    <w:rsid w:val="72D440E1"/>
    <w:rsid w:val="72D75819"/>
    <w:rsid w:val="72DC19E2"/>
    <w:rsid w:val="72E871A5"/>
    <w:rsid w:val="72EC4E12"/>
    <w:rsid w:val="72F6484A"/>
    <w:rsid w:val="73097987"/>
    <w:rsid w:val="732B7092"/>
    <w:rsid w:val="73373DED"/>
    <w:rsid w:val="733817AF"/>
    <w:rsid w:val="73391B68"/>
    <w:rsid w:val="733F7A24"/>
    <w:rsid w:val="735C44F0"/>
    <w:rsid w:val="736675BE"/>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93846"/>
    <w:rsid w:val="741D2E7E"/>
    <w:rsid w:val="741E1A0A"/>
    <w:rsid w:val="74257F85"/>
    <w:rsid w:val="742A10F7"/>
    <w:rsid w:val="74321330"/>
    <w:rsid w:val="74377094"/>
    <w:rsid w:val="74380B51"/>
    <w:rsid w:val="746565D3"/>
    <w:rsid w:val="74694C3B"/>
    <w:rsid w:val="746A6AAD"/>
    <w:rsid w:val="746E74A8"/>
    <w:rsid w:val="747A4FBC"/>
    <w:rsid w:val="7487654A"/>
    <w:rsid w:val="748B466B"/>
    <w:rsid w:val="749018A2"/>
    <w:rsid w:val="74987BF9"/>
    <w:rsid w:val="74C374EF"/>
    <w:rsid w:val="74C72DEA"/>
    <w:rsid w:val="74D94903"/>
    <w:rsid w:val="74DC7834"/>
    <w:rsid w:val="74E03EAC"/>
    <w:rsid w:val="74E271F1"/>
    <w:rsid w:val="74EE1840"/>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D457BF"/>
    <w:rsid w:val="75E27D49"/>
    <w:rsid w:val="75E76AA3"/>
    <w:rsid w:val="75EB0101"/>
    <w:rsid w:val="76162312"/>
    <w:rsid w:val="761867BE"/>
    <w:rsid w:val="76365AD0"/>
    <w:rsid w:val="764E6F43"/>
    <w:rsid w:val="765D57EA"/>
    <w:rsid w:val="766F7295"/>
    <w:rsid w:val="7688585F"/>
    <w:rsid w:val="769211D6"/>
    <w:rsid w:val="76943AE5"/>
    <w:rsid w:val="769D47E7"/>
    <w:rsid w:val="76A2766B"/>
    <w:rsid w:val="76E97048"/>
    <w:rsid w:val="76F54CF0"/>
    <w:rsid w:val="76FD5906"/>
    <w:rsid w:val="77072866"/>
    <w:rsid w:val="770B684E"/>
    <w:rsid w:val="770E6AAE"/>
    <w:rsid w:val="771D50F3"/>
    <w:rsid w:val="771F6F0D"/>
    <w:rsid w:val="77204CB1"/>
    <w:rsid w:val="77356662"/>
    <w:rsid w:val="77416E84"/>
    <w:rsid w:val="775F421B"/>
    <w:rsid w:val="77626DFA"/>
    <w:rsid w:val="776668EA"/>
    <w:rsid w:val="777C1603"/>
    <w:rsid w:val="777D1E86"/>
    <w:rsid w:val="77814A03"/>
    <w:rsid w:val="77A14CDE"/>
    <w:rsid w:val="77AA2F7D"/>
    <w:rsid w:val="77BE04D4"/>
    <w:rsid w:val="77BF424C"/>
    <w:rsid w:val="77C96BD3"/>
    <w:rsid w:val="77D17C4B"/>
    <w:rsid w:val="77E52BF8"/>
    <w:rsid w:val="77E616E5"/>
    <w:rsid w:val="77F263D0"/>
    <w:rsid w:val="77F75794"/>
    <w:rsid w:val="78266CE5"/>
    <w:rsid w:val="7827421F"/>
    <w:rsid w:val="782B4A23"/>
    <w:rsid w:val="78302F8F"/>
    <w:rsid w:val="783D6892"/>
    <w:rsid w:val="784117AB"/>
    <w:rsid w:val="78510397"/>
    <w:rsid w:val="78552936"/>
    <w:rsid w:val="78731F0E"/>
    <w:rsid w:val="78754CBA"/>
    <w:rsid w:val="78822E32"/>
    <w:rsid w:val="78922723"/>
    <w:rsid w:val="789456D9"/>
    <w:rsid w:val="78962FA5"/>
    <w:rsid w:val="78AA0A59"/>
    <w:rsid w:val="78C148AC"/>
    <w:rsid w:val="78C44E5F"/>
    <w:rsid w:val="78C53AE4"/>
    <w:rsid w:val="78CA1FEE"/>
    <w:rsid w:val="78CB3FEB"/>
    <w:rsid w:val="78CE219D"/>
    <w:rsid w:val="78CF04BF"/>
    <w:rsid w:val="78F23E3C"/>
    <w:rsid w:val="79002D6F"/>
    <w:rsid w:val="79053EE1"/>
    <w:rsid w:val="793B5CE2"/>
    <w:rsid w:val="794762A8"/>
    <w:rsid w:val="794C1437"/>
    <w:rsid w:val="794C1B10"/>
    <w:rsid w:val="79546432"/>
    <w:rsid w:val="79584959"/>
    <w:rsid w:val="795C411F"/>
    <w:rsid w:val="795D1F6F"/>
    <w:rsid w:val="79605BA6"/>
    <w:rsid w:val="796834B3"/>
    <w:rsid w:val="797B3C8A"/>
    <w:rsid w:val="797F45FC"/>
    <w:rsid w:val="79970647"/>
    <w:rsid w:val="79A81CC2"/>
    <w:rsid w:val="79C97604"/>
    <w:rsid w:val="79CE2AA1"/>
    <w:rsid w:val="79D9682C"/>
    <w:rsid w:val="79DB75C0"/>
    <w:rsid w:val="79E37881"/>
    <w:rsid w:val="79E4486C"/>
    <w:rsid w:val="79EA2E0E"/>
    <w:rsid w:val="79ED08FA"/>
    <w:rsid w:val="79ED6E4F"/>
    <w:rsid w:val="7A044199"/>
    <w:rsid w:val="7A067AFA"/>
    <w:rsid w:val="7A0C585A"/>
    <w:rsid w:val="7A0D5743"/>
    <w:rsid w:val="7A232DAD"/>
    <w:rsid w:val="7A2C7450"/>
    <w:rsid w:val="7A326B5A"/>
    <w:rsid w:val="7A553725"/>
    <w:rsid w:val="7A616D0A"/>
    <w:rsid w:val="7A6F1F5A"/>
    <w:rsid w:val="7A715CD2"/>
    <w:rsid w:val="7A737B9D"/>
    <w:rsid w:val="7A7F2C76"/>
    <w:rsid w:val="7A990D85"/>
    <w:rsid w:val="7AA716F4"/>
    <w:rsid w:val="7AAC462A"/>
    <w:rsid w:val="7ABC15CC"/>
    <w:rsid w:val="7AF84FA0"/>
    <w:rsid w:val="7AF909C6"/>
    <w:rsid w:val="7B022443"/>
    <w:rsid w:val="7B084DB8"/>
    <w:rsid w:val="7B096151"/>
    <w:rsid w:val="7B2014A6"/>
    <w:rsid w:val="7B2D1921"/>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7A60F1"/>
    <w:rsid w:val="7CA33449"/>
    <w:rsid w:val="7CB93F8B"/>
    <w:rsid w:val="7CBF7B20"/>
    <w:rsid w:val="7CC30CA3"/>
    <w:rsid w:val="7CC876FF"/>
    <w:rsid w:val="7CCE4D69"/>
    <w:rsid w:val="7D050953"/>
    <w:rsid w:val="7D0A0BA4"/>
    <w:rsid w:val="7D1017D5"/>
    <w:rsid w:val="7D107AF3"/>
    <w:rsid w:val="7D24527D"/>
    <w:rsid w:val="7D3E3E65"/>
    <w:rsid w:val="7D4253C7"/>
    <w:rsid w:val="7D492008"/>
    <w:rsid w:val="7D4C5341"/>
    <w:rsid w:val="7D4E5EE6"/>
    <w:rsid w:val="7D541428"/>
    <w:rsid w:val="7D5A0C9F"/>
    <w:rsid w:val="7D5F62B6"/>
    <w:rsid w:val="7D87580C"/>
    <w:rsid w:val="7D8901AD"/>
    <w:rsid w:val="7D8E577D"/>
    <w:rsid w:val="7D9A426A"/>
    <w:rsid w:val="7DC2229A"/>
    <w:rsid w:val="7DD00A7F"/>
    <w:rsid w:val="7DED3C92"/>
    <w:rsid w:val="7DF82FD6"/>
    <w:rsid w:val="7E006F08"/>
    <w:rsid w:val="7E01736D"/>
    <w:rsid w:val="7E333E03"/>
    <w:rsid w:val="7E391FE6"/>
    <w:rsid w:val="7E591F2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DD1D1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HTML Preformatted"/>
    <w:basedOn w:val="1"/>
    <w:qFormat/>
    <w:uiPriority w:val="0"/>
    <w:pPr>
      <w:jc w:val="left"/>
    </w:pPr>
    <w:rPr>
      <w:rFonts w:hint="eastAsia" w:ascii="宋体" w:hAnsi="宋体"/>
      <w:kern w:val="0"/>
      <w:sz w:val="24"/>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paragraph" w:styleId="16">
    <w:name w:val="Body Text First Indent 2"/>
    <w:basedOn w:val="9"/>
    <w:qFormat/>
    <w:uiPriority w:val="0"/>
    <w:pPr>
      <w:ind w:left="420"/>
    </w:pPr>
    <w:rPr>
      <w:rFonts w:ascii="楷体_GB2312" w:hAnsi="楷体_GB2312" w:eastAsia="楷体_GB2312"/>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page number"/>
    <w:basedOn w:val="19"/>
    <w:qFormat/>
    <w:uiPriority w:val="0"/>
  </w:style>
  <w:style w:type="paragraph" w:customStyle="1" w:styleId="22">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19"/>
    <w:qFormat/>
    <w:uiPriority w:val="0"/>
    <w:rPr>
      <w:rFonts w:ascii="Calibri" w:hAnsi="Calibri" w:cs="Calibri"/>
      <w:color w:val="000000"/>
      <w:sz w:val="21"/>
      <w:szCs w:val="21"/>
      <w:u w:val="none"/>
    </w:rPr>
  </w:style>
  <w:style w:type="character" w:customStyle="1" w:styleId="27">
    <w:name w:val="font21"/>
    <w:basedOn w:val="19"/>
    <w:qFormat/>
    <w:uiPriority w:val="0"/>
    <w:rPr>
      <w:rFonts w:hint="eastAsia" w:ascii="宋体" w:hAnsi="宋体" w:eastAsia="宋体" w:cs="宋体"/>
      <w:color w:val="000000"/>
      <w:sz w:val="21"/>
      <w:szCs w:val="21"/>
      <w:u w:val="none"/>
    </w:rPr>
  </w:style>
  <w:style w:type="character" w:customStyle="1" w:styleId="28">
    <w:name w:val="font01"/>
    <w:basedOn w:val="19"/>
    <w:qFormat/>
    <w:uiPriority w:val="0"/>
    <w:rPr>
      <w:rFonts w:ascii="Calibri" w:hAnsi="Calibri" w:cs="Calibri"/>
      <w:color w:val="000000"/>
      <w:sz w:val="21"/>
      <w:szCs w:val="21"/>
      <w:u w:val="none"/>
    </w:rPr>
  </w:style>
  <w:style w:type="character" w:customStyle="1" w:styleId="29">
    <w:name w:val="font31"/>
    <w:basedOn w:val="19"/>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 w:type="character" w:customStyle="1" w:styleId="33">
    <w:name w:val="tpc_content"/>
    <w:qFormat/>
    <w:uiPriority w:val="0"/>
  </w:style>
  <w:style w:type="paragraph" w:customStyle="1" w:styleId="34">
    <w:name w:val="样式5"/>
    <w:basedOn w:val="1"/>
    <w:qFormat/>
    <w:uiPriority w:val="0"/>
    <w:pPr>
      <w:spacing w:line="400" w:lineRule="exact"/>
      <w:ind w:firstLine="200" w:firstLineChars="200"/>
    </w:pPr>
    <w:rPr>
      <w:rFonts w:ascii="Calibri" w:hAnsi="Calibr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128</Words>
  <Characters>515</Characters>
  <Lines>0</Lines>
  <Paragraphs>0</Paragraphs>
  <TotalTime>29</TotalTime>
  <ScaleCrop>false</ScaleCrop>
  <LinksUpToDate>false</LinksUpToDate>
  <CharactersWithSpaces>524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2026-04-10T07:02:00Z</cp:lastPrinted>
  <dcterms:modified xsi:type="dcterms:W3CDTF">2026-04-13T01:31:07Z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E979F9729F794F9D9271BBFC2867E9B8_13</vt:lpwstr>
  </property>
  <property fmtid="{D5CDD505-2E9C-101B-9397-08002B2CF9AE}" pid="4" name="KSOTemplateDocerSaveRecord">
    <vt:lpwstr>eyJoZGlkIjoiMmExZjUxNWE0NWJhMGEyZGI3ZWI3YTYxOTBiYmQ5M2YiLCJ1c2VySWQiOiIxNTY2MDI0ODcyIn0=</vt:lpwstr>
  </property>
</Properties>
</file>