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bookmarkStart w:id="353" w:name="_GoBack"/>
    </w:p>
    <w:p w14:paraId="2ABC177A">
      <w:pPr>
        <w:keepNext w:val="0"/>
        <w:keepLines w:val="0"/>
        <w:pageBreakBefore w:val="0"/>
        <w:widowControl w:val="0"/>
        <w:numPr>
          <w:ilvl w:val="0"/>
          <w:numId w:val="0"/>
        </w:numPr>
        <w:kinsoku/>
        <w:wordWrap/>
        <w:overflowPunct/>
        <w:topLinePunct w:val="0"/>
        <w:autoSpaceDE/>
        <w:autoSpaceDN/>
        <w:bidi w:val="0"/>
        <w:adjustRightInd/>
        <w:snapToGrid/>
        <w:spacing w:after="0" w:afterAutospacing="0"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2026-2028年五亳高速谯涡段道路、桥涵</w:t>
      </w:r>
    </w:p>
    <w:p w14:paraId="63F89845">
      <w:pPr>
        <w:bidi w:val="0"/>
        <w:ind w:left="2240" w:hanging="3080" w:hangingChars="700"/>
        <w:jc w:val="center"/>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方正小标宋简体" w:hAnsi="方正小标宋简体" w:eastAsia="方正小标宋简体" w:cs="方正小标宋简体"/>
          <w:color w:val="auto"/>
          <w:sz w:val="44"/>
          <w:szCs w:val="44"/>
          <w:lang w:val="en-US" w:eastAsia="zh-CN"/>
        </w:rPr>
        <w:t>定期检测及309省道桥涵定期检测项目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BZJK-2026-003号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0" w:edGrp="everyone"/>
      <w:r>
        <w:rPr>
          <w:rFonts w:hint="eastAsia" w:ascii="Times New Roman" w:hAnsi="Times New Roman" w:eastAsia="楷体" w:cs="Times New Roman"/>
          <w:color w:val="auto"/>
          <w:kern w:val="0"/>
          <w:sz w:val="32"/>
          <w:szCs w:val="32"/>
          <w:highlight w:val="none"/>
          <w:shd w:val="clear" w:color="auto" w:fill="auto"/>
          <w:lang w:val="en-US" w:eastAsia="zh-CN"/>
        </w:rPr>
        <w:t>安徽通达利交通建设管理有限公司</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2026年4</w:t>
      </w:r>
      <w:r>
        <w:rPr>
          <w:rFonts w:hint="eastAsia" w:ascii="Times New Roman" w:hAnsi="Times New Roman" w:eastAsia="楷体" w:cs="Times New Roman"/>
          <w:color w:val="auto"/>
          <w:kern w:val="0"/>
          <w:sz w:val="32"/>
          <w:szCs w:val="32"/>
          <w:highlight w:val="none"/>
          <w:u w:val="none"/>
          <w:shd w:val="clear" w:color="auto" w:fill="auto"/>
          <w:lang w:val="en-US" w:eastAsia="zh-CN"/>
        </w:rPr>
        <w:t>月17日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2"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25</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ind w:left="2800" w:hanging="2800" w:hangingChars="1000"/>
        <w:jc w:val="both"/>
        <w:textAlignment w:val="auto"/>
        <w:rPr>
          <w:rFonts w:hint="default" w:ascii="Times New Roman" w:hAnsi="Times New Roman" w:eastAsia="黑体" w:cs="Times New Roman"/>
          <w:color w:val="auto"/>
          <w:sz w:val="28"/>
          <w:szCs w:val="28"/>
          <w:highlight w:val="none"/>
          <w:lang w:val="en-US" w:eastAsia="zh-CN"/>
        </w:rPr>
      </w:pPr>
      <w:permStart w:id="3" w:edGrp="everyone"/>
      <w:r>
        <w:rPr>
          <w:rFonts w:hint="eastAsia" w:ascii="Times New Roman" w:hAnsi="Times New Roman" w:eastAsia="黑体" w:cs="Times New Roman"/>
          <w:color w:val="auto"/>
          <w:sz w:val="28"/>
          <w:szCs w:val="28"/>
          <w:highlight w:val="none"/>
          <w:lang w:val="en-US" w:eastAsia="zh-CN"/>
        </w:rPr>
        <w:t>2026-2028年五亳高速谯涡段道路、桥涵定期检测及309省道桥涵定期检测项目</w:t>
      </w:r>
      <w:r>
        <w:rPr>
          <w:rFonts w:hint="default" w:ascii="Times New Roman" w:hAnsi="Times New Roman" w:eastAsia="黑体" w:cs="Times New Roman"/>
          <w:color w:val="auto"/>
          <w:sz w:val="28"/>
          <w:szCs w:val="28"/>
          <w:highlight w:val="none"/>
          <w:lang w:val="en-US" w:eastAsia="zh-CN"/>
        </w:rPr>
        <w:t>询比公告</w:t>
      </w:r>
    </w:p>
    <w:permEnd w:id="3"/>
    <w:p w14:paraId="7AC1D9A8">
      <w:pPr>
        <w:pStyle w:val="13"/>
        <w:rPr>
          <w:rFonts w:hint="default" w:ascii="Times New Roman" w:hAnsi="Times New Roman" w:cs="Times New Roman"/>
          <w:color w:val="auto"/>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52045519"/>
      <w:bookmarkStart w:id="1" w:name="_Toc144974487"/>
      <w:bookmarkStart w:id="2" w:name="_Toc246996909"/>
      <w:bookmarkStart w:id="3" w:name="_Toc247085680"/>
      <w:bookmarkStart w:id="4" w:name="_Toc152042295"/>
      <w:bookmarkStart w:id="5" w:name="_Toc296602410"/>
      <w:bookmarkStart w:id="6" w:name="_Toc246996166"/>
      <w:bookmarkStart w:id="7" w:name="_Toc179632536"/>
      <w:r>
        <w:rPr>
          <w:rFonts w:hint="default" w:ascii="Times New Roman" w:hAnsi="Times New Roman" w:eastAsia="宋体" w:cs="Times New Roman"/>
          <w:color w:val="auto"/>
          <w:sz w:val="28"/>
          <w:szCs w:val="28"/>
          <w:highlight w:val="none"/>
          <w:lang w:val="en-US" w:eastAsia="zh-CN"/>
        </w:rPr>
        <w:t xml:space="preserve"> </w:t>
      </w:r>
      <w:r>
        <w:rPr>
          <w:rFonts w:hint="eastAsia" w:ascii="Times New Roman" w:hAnsi="Times New Roman" w:eastAsia="宋体" w:cs="Times New Roman"/>
          <w:color w:val="auto"/>
          <w:sz w:val="28"/>
          <w:szCs w:val="28"/>
          <w:highlight w:val="none"/>
          <w:lang w:val="en-US" w:eastAsia="zh-CN"/>
        </w:rPr>
        <w:t>2026-2028年五亳高速谯涡段道路、桥涵定期检测及309省道桥涵定期检测项目</w:t>
      </w:r>
      <w:r>
        <w:rPr>
          <w:rFonts w:hint="default" w:ascii="Times New Roman" w:hAnsi="Times New Roman" w:eastAsia="宋体" w:cs="Times New Roman"/>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bookmarkStart w:id="8" w:name="_Toc152042296"/>
      <w:bookmarkStart w:id="9" w:name="_Toc179632537"/>
      <w:bookmarkStart w:id="10" w:name="_Toc246996167"/>
      <w:bookmarkStart w:id="11" w:name="_Toc144974488"/>
      <w:bookmarkStart w:id="12" w:name="_Toc152045520"/>
      <w:bookmarkStart w:id="13" w:name="_Toc296602411"/>
      <w:bookmarkStart w:id="14" w:name="_Toc247085681"/>
      <w:bookmarkStart w:id="15" w:name="_Toc246996910"/>
      <w:r>
        <w:rPr>
          <w:rFonts w:hint="default" w:ascii="Times New Roman" w:hAnsi="Times New Roman" w:cs="Times New Roman"/>
          <w:color w:val="auto"/>
          <w:sz w:val="28"/>
          <w:szCs w:val="28"/>
          <w:highlight w:val="none"/>
          <w:lang w:val="en-US" w:eastAsia="zh-CN"/>
        </w:rPr>
        <w:t>（一）</w:t>
      </w:r>
      <w:r>
        <w:rPr>
          <w:rFonts w:hint="default" w:ascii="Times New Roman" w:hAnsi="Times New Roman" w:cs="Times New Roman" w:eastAsiaTheme="minorEastAsia"/>
          <w:color w:val="auto"/>
          <w:sz w:val="28"/>
          <w:szCs w:val="28"/>
          <w:highlight w:val="none"/>
          <w:lang w:val="en-US" w:eastAsia="zh-CN"/>
        </w:rPr>
        <w:t>项目名称：</w:t>
      </w:r>
      <w:permStart w:id="4" w:edGrp="everyone"/>
      <w:r>
        <w:rPr>
          <w:rFonts w:hint="eastAsia" w:ascii="Times New Roman" w:hAnsi="Times New Roman" w:eastAsia="黑体" w:cs="Times New Roman"/>
          <w:color w:val="auto"/>
          <w:sz w:val="28"/>
          <w:szCs w:val="28"/>
          <w:highlight w:val="none"/>
          <w:lang w:val="en-US" w:eastAsia="zh-CN"/>
        </w:rPr>
        <w:t>2026-2028年五亳高速谯涡段道路、桥涵定期检测及309省道桥涵定期检测项目</w:t>
      </w:r>
    </w:p>
    <w:permEnd w:id="4"/>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项目</w:t>
      </w:r>
      <w:r>
        <w:rPr>
          <w:rFonts w:hint="default" w:ascii="Times New Roman" w:hAnsi="Times New Roman" w:cs="Times New Roman"/>
          <w:color w:val="auto"/>
          <w:sz w:val="28"/>
          <w:szCs w:val="28"/>
          <w:highlight w:val="none"/>
          <w:lang w:val="en-US" w:eastAsia="zh-CN"/>
        </w:rPr>
        <w:t>编号</w:t>
      </w:r>
      <w:r>
        <w:rPr>
          <w:rFonts w:hint="default" w:ascii="Times New Roman" w:hAnsi="Times New Roman" w:cs="Times New Roman" w:eastAsiaTheme="minorEastAsia"/>
          <w:color w:val="auto"/>
          <w:sz w:val="28"/>
          <w:szCs w:val="28"/>
          <w:highlight w:val="none"/>
          <w:lang w:val="en-US" w:eastAsia="zh-CN"/>
        </w:rPr>
        <w:t>：</w:t>
      </w:r>
      <w:permStart w:id="5" w:edGrp="everyone"/>
      <w:r>
        <w:rPr>
          <w:rFonts w:hint="eastAsia" w:ascii="Times New Roman" w:hAnsi="Times New Roman" w:cs="Times New Roman"/>
          <w:color w:val="auto"/>
          <w:sz w:val="28"/>
          <w:szCs w:val="28"/>
          <w:highlight w:val="none"/>
          <w:lang w:val="en-US" w:eastAsia="zh-CN"/>
        </w:rPr>
        <w:t>BZJK-2026-003</w:t>
      </w:r>
      <w:r>
        <w:rPr>
          <w:rFonts w:hint="default" w:ascii="Times New Roman" w:hAnsi="Times New Roman" w:cs="Times New Roman"/>
          <w:color w:val="auto"/>
          <w:sz w:val="28"/>
          <w:szCs w:val="28"/>
          <w:highlight w:val="none"/>
          <w:lang w:val="en-US" w:eastAsia="zh-CN"/>
        </w:rPr>
        <w:t>号</w:t>
      </w:r>
      <w:permEnd w:id="5"/>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采购人</w:t>
      </w:r>
      <w:r>
        <w:rPr>
          <w:rFonts w:hint="default" w:ascii="Times New Roman" w:hAnsi="Times New Roman" w:cs="Times New Roman" w:eastAsiaTheme="minorEastAsia"/>
          <w:color w:val="auto"/>
          <w:sz w:val="28"/>
          <w:szCs w:val="28"/>
          <w:highlight w:val="none"/>
          <w:lang w:val="en-US" w:eastAsia="zh-CN"/>
        </w:rPr>
        <w:t>：</w:t>
      </w:r>
      <w:permStart w:id="6" w:edGrp="everyone"/>
      <w:r>
        <w:rPr>
          <w:rFonts w:hint="default" w:ascii="Times New Roman" w:hAnsi="Times New Roman" w:cs="Times New Roman"/>
          <w:color w:val="auto"/>
          <w:sz w:val="28"/>
          <w:szCs w:val="28"/>
          <w:highlight w:val="none"/>
          <w:lang w:val="en-US" w:eastAsia="zh-CN"/>
        </w:rPr>
        <w:t>安徽通达利交通建设管理有限公司</w:t>
      </w:r>
      <w:permEnd w:id="6"/>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资金落实情况</w:t>
      </w:r>
      <w:r>
        <w:rPr>
          <w:rFonts w:hint="default" w:ascii="Times New Roman" w:hAnsi="Times New Roman" w:cs="Times New Roman" w:eastAsiaTheme="minorEastAsia"/>
          <w:color w:val="auto"/>
          <w:sz w:val="28"/>
          <w:szCs w:val="28"/>
          <w:highlight w:val="none"/>
          <w:lang w:val="en-US" w:eastAsia="zh-CN"/>
        </w:rPr>
        <w:t>：</w:t>
      </w:r>
      <w:permStart w:id="7" w:edGrp="everyone"/>
      <w:r>
        <w:rPr>
          <w:rFonts w:hint="default" w:ascii="Times New Roman" w:hAnsi="Times New Roman" w:cs="Times New Roman"/>
          <w:color w:val="auto"/>
          <w:sz w:val="28"/>
          <w:szCs w:val="28"/>
          <w:highlight w:val="none"/>
          <w:u w:val="none"/>
          <w:lang w:val="en-US" w:eastAsia="zh-CN"/>
        </w:rPr>
        <w:t>已落实</w:t>
      </w:r>
      <w:permEnd w:id="7"/>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五</w:t>
      </w:r>
      <w:r>
        <w:rPr>
          <w:rFonts w:hint="default" w:ascii="Times New Roman" w:hAnsi="Times New Roman" w:cs="Times New Roman" w:eastAsiaTheme="minorEastAsia"/>
          <w:color w:val="auto"/>
          <w:sz w:val="28"/>
          <w:szCs w:val="28"/>
          <w:highlight w:val="none"/>
          <w:lang w:val="en-US" w:eastAsia="zh-CN"/>
        </w:rPr>
        <w:t>）最高限价</w:t>
      </w:r>
      <w:permStart w:id="8" w:edGrp="everyone"/>
      <w:r>
        <w:rPr>
          <w:rFonts w:hint="default" w:ascii="Times New Roman" w:hAnsi="Times New Roman" w:cs="Times New Roman" w:eastAsiaTheme="minorEastAsia"/>
          <w:color w:val="auto"/>
          <w:sz w:val="28"/>
          <w:szCs w:val="28"/>
          <w:highlight w:val="none"/>
          <w:lang w:val="en-US" w:eastAsia="zh-CN"/>
        </w:rPr>
        <w:t>（含税6 %）</w:t>
      </w:r>
      <w:permEnd w:id="8"/>
      <w:r>
        <w:rPr>
          <w:rFonts w:hint="default" w:ascii="Times New Roman" w:hAnsi="Times New Roman" w:cs="Times New Roman" w:eastAsiaTheme="minorEastAsia"/>
          <w:color w:val="auto"/>
          <w:sz w:val="28"/>
          <w:szCs w:val="28"/>
          <w:highlight w:val="none"/>
          <w:lang w:val="en-US" w:eastAsia="zh-CN"/>
        </w:rPr>
        <w:t>：</w:t>
      </w:r>
      <w:permStart w:id="9" w:edGrp="everyone"/>
      <w:r>
        <w:rPr>
          <w:rFonts w:hint="eastAsia" w:ascii="Times New Roman" w:hAnsi="Times New Roman" w:cs="Times New Roman" w:eastAsiaTheme="minorEastAsia"/>
          <w:color w:val="auto"/>
          <w:sz w:val="28"/>
          <w:szCs w:val="28"/>
          <w:highlight w:val="none"/>
          <w:lang w:val="en-US" w:eastAsia="zh-CN"/>
        </w:rPr>
        <w:t>90</w:t>
      </w:r>
      <w:r>
        <w:rPr>
          <w:rFonts w:hint="default" w:ascii="Times New Roman" w:hAnsi="Times New Roman" w:cs="Times New Roman" w:eastAsiaTheme="minorEastAsia"/>
          <w:color w:val="auto"/>
          <w:sz w:val="28"/>
          <w:szCs w:val="28"/>
          <w:highlight w:val="none"/>
          <w:lang w:val="en-US" w:eastAsia="zh-CN"/>
        </w:rPr>
        <w:t>万元</w:t>
      </w:r>
      <w:r>
        <w:rPr>
          <w:rFonts w:hint="eastAsia" w:ascii="Times New Roman" w:hAnsi="Times New Roman" w:cs="Times New Roman" w:eastAsiaTheme="minorEastAsia"/>
          <w:color w:val="auto"/>
          <w:sz w:val="28"/>
          <w:szCs w:val="28"/>
          <w:highlight w:val="none"/>
          <w:lang w:val="en-US" w:eastAsia="zh-CN"/>
        </w:rPr>
        <w:t>（其中10万元做为暂列金</w:t>
      </w:r>
      <w:permEnd w:id="9"/>
      <w:r>
        <w:rPr>
          <w:rFonts w:hint="default" w:ascii="Times New Roman" w:hAnsi="Times New Roman" w:cs="Times New Roman" w:eastAsiaTheme="minorEastAsia"/>
          <w:color w:val="auto"/>
          <w:sz w:val="28"/>
          <w:szCs w:val="28"/>
          <w:highlight w:val="none"/>
          <w:lang w:val="en-US" w:eastAsia="zh-CN"/>
        </w:rPr>
        <w:t>，</w:t>
      </w:r>
      <w:permStart w:id="10" w:edGrp="everyone"/>
      <w:r>
        <w:rPr>
          <w:rFonts w:hint="default" w:ascii="Times New Roman" w:hAnsi="Times New Roman" w:cs="Times New Roman"/>
          <w:color w:val="auto"/>
          <w:sz w:val="28"/>
          <w:szCs w:val="28"/>
          <w:highlight w:val="none"/>
          <w:lang w:val="en-US" w:eastAsia="zh-CN"/>
        </w:rPr>
        <w:t>供应商按照</w:t>
      </w:r>
      <w:r>
        <w:rPr>
          <w:rFonts w:hint="default" w:ascii="Times New Roman" w:hAnsi="Times New Roman" w:cs="Times New Roman" w:eastAsiaTheme="minorEastAsia"/>
          <w:color w:val="auto"/>
          <w:sz w:val="28"/>
          <w:szCs w:val="28"/>
          <w:highlight w:val="none"/>
          <w:u w:val="single"/>
          <w:lang w:val="en-US" w:eastAsia="zh-CN"/>
        </w:rPr>
        <w:t>固定</w:t>
      </w:r>
      <w:r>
        <w:rPr>
          <w:rFonts w:hint="eastAsia" w:ascii="Times New Roman" w:hAnsi="Times New Roman" w:cs="Times New Roman"/>
          <w:color w:val="auto"/>
          <w:sz w:val="28"/>
          <w:szCs w:val="28"/>
          <w:highlight w:val="none"/>
          <w:u w:val="single"/>
          <w:lang w:val="en-US" w:eastAsia="zh-CN"/>
        </w:rPr>
        <w:t>总</w:t>
      </w:r>
      <w:r>
        <w:rPr>
          <w:rFonts w:hint="default" w:ascii="Times New Roman" w:hAnsi="Times New Roman" w:cs="Times New Roman" w:eastAsiaTheme="minorEastAsia"/>
          <w:color w:val="auto"/>
          <w:sz w:val="28"/>
          <w:szCs w:val="28"/>
          <w:highlight w:val="none"/>
          <w:u w:val="single"/>
          <w:lang w:val="en-US" w:eastAsia="zh-CN"/>
        </w:rPr>
        <w:t>价</w:t>
      </w:r>
      <w:r>
        <w:rPr>
          <w:rFonts w:hint="default" w:ascii="Times New Roman" w:hAnsi="Times New Roman" w:cs="Times New Roman"/>
          <w:color w:val="auto"/>
          <w:sz w:val="28"/>
          <w:szCs w:val="28"/>
          <w:highlight w:val="none"/>
          <w:u w:val="none"/>
          <w:lang w:val="en-US" w:eastAsia="zh-CN"/>
        </w:rPr>
        <w:t>报价</w:t>
      </w:r>
      <w:permEnd w:id="10"/>
      <w:r>
        <w:rPr>
          <w:rFonts w:hint="default" w:ascii="Times New Roman" w:hAnsi="Times New Roman" w:cs="Times New Roman"/>
          <w:color w:val="auto"/>
          <w:sz w:val="28"/>
          <w:szCs w:val="28"/>
          <w:highlight w:val="none"/>
          <w:lang w:val="en-US" w:eastAsia="zh-CN"/>
        </w:rPr>
        <w:t>。报价表需</w:t>
      </w:r>
      <w:r>
        <w:rPr>
          <w:rFonts w:hint="eastAsia" w:ascii="Times New Roman" w:hAnsi="Times New Roman" w:cs="Times New Roman"/>
          <w:color w:val="auto"/>
          <w:sz w:val="28"/>
          <w:szCs w:val="28"/>
          <w:highlight w:val="none"/>
          <w:lang w:val="en-US" w:eastAsia="zh-CN"/>
        </w:rPr>
        <w:t>按照各年度检测内容分项填写</w:t>
      </w:r>
      <w:r>
        <w:rPr>
          <w:rFonts w:hint="default" w:ascii="Times New Roman" w:hAnsi="Times New Roman" w:cs="Times New Roman"/>
          <w:color w:val="auto"/>
          <w:sz w:val="28"/>
          <w:szCs w:val="28"/>
          <w:highlight w:val="none"/>
          <w:lang w:val="en-US" w:eastAsia="zh-CN"/>
        </w:rPr>
        <w:t>费用</w:t>
      </w:r>
      <w:r>
        <w:rPr>
          <w:rFonts w:hint="eastAsia" w:ascii="Times New Roman" w:hAnsi="Times New Roman" w:cs="Times New Roman"/>
          <w:color w:val="auto"/>
          <w:sz w:val="28"/>
          <w:szCs w:val="28"/>
          <w:highlight w:val="none"/>
          <w:lang w:val="en-US" w:eastAsia="zh-CN"/>
        </w:rPr>
        <w:t>，其中暂列金额10万元为应对上级主管部门在2026-2028年期间可能要求的其他检测内容预留预算，供应商无需报价，后期根据实际发生的检测内容，参照安徽省物价局《关于核定我省交通建设工程试验检测收费试行标准的函》（皖价服函[2011]248号）规定标准的50%基准，进行协商确定，此部分费用结算金额合计不得超过10万元。</w:t>
      </w:r>
      <w:r>
        <w:rPr>
          <w:rFonts w:hint="default" w:ascii="Times New Roman" w:hAnsi="Times New Roman" w:cs="Times New Roman" w:eastAsiaTheme="minorEastAsia"/>
          <w:color w:val="auto"/>
          <w:sz w:val="28"/>
          <w:szCs w:val="28"/>
          <w:highlight w:val="none"/>
          <w:lang w:val="en-US" w:eastAsia="zh-CN"/>
        </w:rPr>
        <w:t>报价超出限价</w:t>
      </w:r>
      <w:r>
        <w:rPr>
          <w:rFonts w:hint="default" w:ascii="Times New Roman" w:hAnsi="Times New Roman" w:cs="Times New Roman"/>
          <w:color w:val="auto"/>
          <w:sz w:val="28"/>
          <w:szCs w:val="28"/>
          <w:highlight w:val="none"/>
          <w:lang w:val="en-US" w:eastAsia="zh-CN"/>
        </w:rPr>
        <w:t>或为可能影响合同履约的异常报价的</w:t>
      </w:r>
      <w:r>
        <w:rPr>
          <w:rFonts w:hint="default" w:ascii="Times New Roman" w:hAnsi="Times New Roman" w:cs="Times New Roman" w:eastAsiaTheme="minorEastAsia"/>
          <w:color w:val="auto"/>
          <w:sz w:val="28"/>
          <w:szCs w:val="28"/>
          <w:highlight w:val="none"/>
          <w:lang w:val="en-US" w:eastAsia="zh-CN"/>
        </w:rPr>
        <w:t>，按无效</w:t>
      </w:r>
      <w:r>
        <w:rPr>
          <w:rFonts w:hint="eastAsia"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处理；报价应包括为完成本项目</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范围内各阶段工作内容所需的全部费用</w:t>
      </w:r>
      <w:r>
        <w:rPr>
          <w:rFonts w:hint="default" w:ascii="Times New Roman" w:hAnsi="Times New Roman" w:cs="Times New Roman"/>
          <w:color w:val="auto"/>
          <w:sz w:val="28"/>
          <w:szCs w:val="28"/>
          <w:highlight w:val="none"/>
          <w:lang w:val="en-US" w:eastAsia="zh-CN"/>
        </w:rPr>
        <w:t>，成交后不予调整，其他未尽事宜应统一考虑在报价内</w:t>
      </w:r>
      <w:r>
        <w:rPr>
          <w:rFonts w:hint="default" w:ascii="Times New Roman" w:hAnsi="Times New Roman" w:cs="Times New Roman" w:eastAsia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52BC4A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（一）</w:t>
      </w:r>
      <w:permStart w:id="11" w:edGrp="everyone"/>
      <w:r>
        <w:rPr>
          <w:rFonts w:hint="eastAsia" w:ascii="Times New Roman" w:hAnsi="Times New Roman" w:cs="Times New Roman"/>
          <w:color w:val="auto"/>
          <w:sz w:val="28"/>
          <w:szCs w:val="28"/>
          <w:highlight w:val="none"/>
          <w:lang w:val="en-US" w:eastAsia="zh-CN"/>
        </w:rPr>
        <w:t>采购范围：</w:t>
      </w:r>
      <w:r>
        <w:rPr>
          <w:rFonts w:hint="eastAsia" w:ascii="Times New Roman" w:hAnsi="Times New Roman" w:cs="Times New Roman" w:eastAsiaTheme="minorEastAsia"/>
          <w:color w:val="auto"/>
          <w:sz w:val="28"/>
          <w:szCs w:val="28"/>
          <w:highlight w:val="none"/>
          <w:lang w:val="en-US" w:eastAsia="zh-CN"/>
        </w:rPr>
        <w:t>五亳高速谯涡段道路、桥涵定期检测及309省道桥涵定期检测项目。高速检测包含路面18km（包含主线13km，匝道5km）、桥梁23座（大桥10座、中桥12座、小桥1座）、涵洞42座；309省道一级公路检测包含包含涡河大桥、上跨青阜铁路桥2座大桥、22座中桥、25座小桥，涵洞33座。</w:t>
      </w:r>
    </w:p>
    <w:p w14:paraId="420C36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各年度检测内容：</w:t>
      </w:r>
    </w:p>
    <w:p w14:paraId="784A2D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1.2026年：1.高速全线道路检测评定、SCI（路基技术状况检测评定）、TCI（沿线设施技术状况检测评定）；2.309省道涡河大桥、跨青阜铁路桥定期检测评定。</w:t>
      </w:r>
    </w:p>
    <w:p w14:paraId="37972A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2.2027年：1.高速全线道路检测评定；2.309省道全线49座桥梁、33座涵洞定期检测评定；</w:t>
      </w:r>
    </w:p>
    <w:p w14:paraId="4E7DE9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3.2028年：1.高速全线道路检测评定，23座桥梁、42座涵洞检测评定；2.309省道涡河大桥、跨青阜铁路桥定期检测评定。</w:t>
      </w:r>
    </w:p>
    <w:p w14:paraId="78EDCA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检测包含但不限于：</w:t>
      </w:r>
    </w:p>
    <w:p w14:paraId="6453FE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1.道路路面损坏、路面平整度、路面车辙、路面跳车及路面破损、路面磨耗、路面结构强度。</w:t>
      </w:r>
    </w:p>
    <w:p w14:paraId="53555C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2.桥涵构件检查、桥面系检查、桥涵外观检查、混凝土无损检测、桥涵技术状况评定、桥涵养护和加固建议、桥涵资料整理归档等内容。</w:t>
      </w:r>
    </w:p>
    <w:p w14:paraId="435F8F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3.配合完成高速及省道公路资产管理平台报告上传、数据更新、通过审核等。</w:t>
      </w:r>
    </w:p>
    <w:p w14:paraId="7A0A5B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4.上级主管部门在2026-2028年期间可能要求的其他检测内容。</w:t>
      </w:r>
    </w:p>
    <w:permEnd w:id="11"/>
    <w:p w14:paraId="647EA4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二</w:t>
      </w:r>
      <w:r>
        <w:rPr>
          <w:rFonts w:hint="default" w:ascii="Times New Roman" w:hAnsi="Times New Roman" w:cs="Times New Roman"/>
          <w:color w:val="auto"/>
          <w:sz w:val="28"/>
          <w:szCs w:val="28"/>
          <w:highlight w:val="none"/>
          <w:lang w:val="en-US" w:eastAsia="zh-CN"/>
        </w:rPr>
        <w:t>）服务期限</w:t>
      </w:r>
      <w:r>
        <w:rPr>
          <w:rFonts w:hint="default" w:ascii="Times New Roman" w:hAnsi="Times New Roman" w:cs="Times New Roman" w:eastAsiaTheme="minorEastAsia"/>
          <w:color w:val="auto"/>
          <w:sz w:val="28"/>
          <w:szCs w:val="28"/>
          <w:highlight w:val="none"/>
          <w:lang w:val="en-US" w:eastAsia="zh-CN"/>
        </w:rPr>
        <w:t>：</w:t>
      </w:r>
      <w:permStart w:id="12" w:edGrp="everyone"/>
    </w:p>
    <w:p w14:paraId="7C9504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1.309省道全线49座桥梁、33座涵洞定期检测评定，需在当年度6月</w:t>
      </w:r>
      <w:r>
        <w:rPr>
          <w:rFonts w:hint="eastAsia" w:ascii="Times New Roman" w:hAnsi="Times New Roman" w:cs="Times New Roman"/>
          <w:color w:val="auto"/>
          <w:sz w:val="28"/>
          <w:szCs w:val="28"/>
          <w:highlight w:val="none"/>
          <w:lang w:val="en-US" w:eastAsia="zh-CN"/>
        </w:rPr>
        <w:t>底</w:t>
      </w:r>
      <w:r>
        <w:rPr>
          <w:rFonts w:hint="eastAsia" w:ascii="Times New Roman" w:hAnsi="Times New Roman" w:cs="Times New Roman" w:eastAsiaTheme="minorEastAsia"/>
          <w:color w:val="auto"/>
          <w:sz w:val="28"/>
          <w:szCs w:val="28"/>
          <w:highlight w:val="none"/>
          <w:lang w:val="en-US" w:eastAsia="zh-CN"/>
        </w:rPr>
        <w:t>前完成检测评定报告出具；</w:t>
      </w:r>
    </w:p>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eastAsiaTheme="minorEastAsia"/>
          <w:color w:val="auto"/>
          <w:sz w:val="28"/>
          <w:szCs w:val="28"/>
          <w:highlight w:val="none"/>
          <w:lang w:val="en-US" w:eastAsia="zh-CN"/>
        </w:rPr>
        <w:t>2.高速全线道路检测评定，23座桥梁、42座涵洞检测评定，需在当年度10月</w:t>
      </w:r>
      <w:r>
        <w:rPr>
          <w:rFonts w:hint="eastAsia" w:ascii="Times New Roman" w:hAnsi="Times New Roman" w:cs="Times New Roman"/>
          <w:color w:val="auto"/>
          <w:sz w:val="28"/>
          <w:szCs w:val="28"/>
          <w:highlight w:val="none"/>
          <w:lang w:val="en-US" w:eastAsia="zh-CN"/>
        </w:rPr>
        <w:t>底</w:t>
      </w:r>
      <w:r>
        <w:rPr>
          <w:rFonts w:hint="eastAsia" w:ascii="Times New Roman" w:hAnsi="Times New Roman" w:cs="Times New Roman" w:eastAsiaTheme="minorEastAsia"/>
          <w:color w:val="auto"/>
          <w:sz w:val="28"/>
          <w:szCs w:val="28"/>
          <w:highlight w:val="none"/>
          <w:lang w:val="en-US" w:eastAsia="zh-CN"/>
        </w:rPr>
        <w:t>前完成检测评定报告出具。并</w:t>
      </w:r>
      <w:r>
        <w:rPr>
          <w:rFonts w:hint="default" w:ascii="Times New Roman" w:hAnsi="Times New Roman" w:cs="Times New Roman" w:eastAsiaTheme="minorEastAsia"/>
          <w:color w:val="auto"/>
          <w:sz w:val="28"/>
          <w:szCs w:val="28"/>
          <w:highlight w:val="none"/>
          <w:lang w:val="en-US" w:eastAsia="zh-CN"/>
        </w:rPr>
        <w:t>向采购人提交初步成果文件。</w:t>
      </w:r>
      <w:permEnd w:id="12"/>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服务地点</w:t>
      </w:r>
      <w:r>
        <w:rPr>
          <w:rFonts w:hint="default" w:ascii="Times New Roman" w:hAnsi="Times New Roman" w:cs="Times New Roman" w:eastAsiaTheme="minorEastAsia"/>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亳州市内，采购人指定地点。</w:t>
      </w:r>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四</w:t>
      </w:r>
      <w:r>
        <w:rPr>
          <w:rFonts w:hint="default" w:ascii="Times New Roman" w:hAnsi="Times New Roman" w:cs="Times New Roman"/>
          <w:color w:val="auto"/>
          <w:sz w:val="28"/>
          <w:szCs w:val="28"/>
          <w:highlight w:val="none"/>
          <w:lang w:val="en-US" w:eastAsia="zh-CN"/>
        </w:rPr>
        <w:t>）服务标准：</w:t>
      </w:r>
      <w:permStart w:id="13" w:edGrp="everyone"/>
      <w:r>
        <w:rPr>
          <w:rFonts w:hint="default" w:ascii="Times New Roman" w:hAnsi="Times New Roman" w:cs="Times New Roman"/>
          <w:color w:val="auto"/>
          <w:sz w:val="28"/>
          <w:szCs w:val="28"/>
          <w:highlight w:val="none"/>
          <w:lang w:val="en-US" w:eastAsia="zh-CN"/>
        </w:rPr>
        <w:t>符合国家、行业</w:t>
      </w:r>
      <w:r>
        <w:rPr>
          <w:rFonts w:hint="eastAsia" w:ascii="Times New Roman" w:hAnsi="Times New Roman" w:cs="Times New Roman"/>
          <w:color w:val="auto"/>
          <w:sz w:val="28"/>
          <w:szCs w:val="28"/>
          <w:highlight w:val="none"/>
          <w:lang w:val="en-US" w:eastAsia="zh-CN"/>
        </w:rPr>
        <w:t>和</w:t>
      </w:r>
      <w:r>
        <w:rPr>
          <w:rFonts w:hint="default" w:ascii="Times New Roman" w:hAnsi="Times New Roman" w:cs="Times New Roman"/>
          <w:color w:val="auto"/>
          <w:sz w:val="28"/>
          <w:szCs w:val="28"/>
          <w:highlight w:val="none"/>
          <w:lang w:val="en-US" w:eastAsia="zh-CN"/>
        </w:rPr>
        <w:t>地方现行相关规范合格标准。</w:t>
      </w:r>
      <w:permEnd w:id="13"/>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三、供应商资格要求</w:t>
      </w:r>
    </w:p>
    <w:p w14:paraId="74A0A0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（一）供应商须具有独立法人资格，具有有效的营业执照，并在人员、设备、资金等方面具有承担本项目的能力。</w:t>
      </w:r>
    </w:p>
    <w:p w14:paraId="0D9C32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（二）供应商须同时满足以下资质要求：</w:t>
      </w:r>
    </w:p>
    <w:p w14:paraId="190805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1.具有交通运输主管部门颁发的公路工程试验检测机构综合甲级及以上资质或公路水运工程质量检测机构资质证书公路工程专业甲级；</w:t>
      </w:r>
    </w:p>
    <w:p w14:paraId="700194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2.具有省级及以上主管部门颁发的计量认证证书（CMA）。</w:t>
      </w:r>
    </w:p>
    <w:p w14:paraId="6613CB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（三）</w:t>
      </w:r>
      <w:permStart w:id="14" w:edGrp="everyone"/>
      <w:r>
        <w:rPr>
          <w:rFonts w:hint="eastAsia" w:ascii="Times New Roman" w:hAnsi="Times New Roman" w:cs="Times New Roman"/>
          <w:color w:val="auto"/>
          <w:sz w:val="28"/>
          <w:szCs w:val="28"/>
          <w:highlight w:val="none"/>
          <w:lang w:val="en-US" w:eastAsia="zh-CN"/>
        </w:rPr>
        <w:t>供应商拟派项目负责人需同时具有</w:t>
      </w:r>
      <w:r>
        <w:rPr>
          <w:rFonts w:hint="default" w:ascii="Times New Roman" w:hAnsi="Times New Roman" w:cs="Times New Roman"/>
          <w:color w:val="auto"/>
          <w:sz w:val="28"/>
          <w:szCs w:val="28"/>
          <w:highlight w:val="none"/>
          <w:lang w:val="en-US" w:eastAsia="zh-CN"/>
        </w:rPr>
        <w:t>①和②资格：</w:t>
      </w:r>
    </w:p>
    <w:p w14:paraId="395443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①</w:t>
      </w:r>
      <w:r>
        <w:rPr>
          <w:rFonts w:hint="default" w:ascii="Times New Roman" w:hAnsi="Times New Roman" w:cs="Times New Roman" w:eastAsiaTheme="minorEastAsia"/>
          <w:color w:val="auto"/>
          <w:sz w:val="28"/>
          <w:szCs w:val="28"/>
          <w:highlight w:val="none"/>
          <w:lang w:val="en-US" w:eastAsia="zh-CN"/>
        </w:rPr>
        <w:t>具有公路工程相关专业高级及以上职称；</w:t>
      </w:r>
    </w:p>
    <w:p w14:paraId="173244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②</w:t>
      </w:r>
      <w:r>
        <w:rPr>
          <w:rFonts w:hint="eastAsia" w:ascii="Times New Roman" w:hAnsi="Times New Roman" w:cs="Times New Roman" w:eastAsiaTheme="minorEastAsia"/>
          <w:color w:val="auto"/>
          <w:sz w:val="28"/>
          <w:szCs w:val="28"/>
          <w:highlight w:val="none"/>
          <w:lang w:val="en-US" w:eastAsia="zh-CN"/>
        </w:rPr>
        <w:t>具有公路工程试验检测工程师证书，并在《公路水运工程试验检测管理系统》注册为供应商人员，须提供 2025年6月以来供应商为其缴纳的任意连续3个月的社保证明</w:t>
      </w:r>
      <w:r>
        <w:rPr>
          <w:rFonts w:hint="default" w:ascii="Times New Roman" w:hAnsi="Times New Roman" w:cs="Times New Roman"/>
          <w:color w:val="auto"/>
          <w:sz w:val="28"/>
          <w:szCs w:val="28"/>
          <w:highlight w:val="none"/>
          <w:lang w:val="en-US" w:eastAsia="zh-CN"/>
        </w:rPr>
        <w:t>。</w:t>
      </w:r>
    </w:p>
    <w:permEnd w:id="14"/>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（四）供应商须提供至少1个类似项目业绩。“类似项目业绩”是指供应商自2021年1月1日以来承接的单项合同金额不低于50万元的高速公路检测业绩，业绩时间以合同签订时间为准。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注：</w:t>
      </w:r>
      <w:permStart w:id="15" w:edGrp="everyone"/>
      <w:r>
        <w:rPr>
          <w:rFonts w:hint="default" w:ascii="Times New Roman" w:hAnsi="Times New Roman" w:cs="Times New Roman" w:eastAsiaTheme="minorEastAsia"/>
          <w:color w:val="auto"/>
          <w:sz w:val="28"/>
          <w:szCs w:val="28"/>
          <w:highlight w:val="none"/>
          <w:lang w:val="en-US" w:eastAsia="zh-CN"/>
        </w:rPr>
        <w:t>提供业绩合同</w:t>
      </w:r>
      <w:r>
        <w:rPr>
          <w:rFonts w:hint="default" w:ascii="Times New Roman" w:hAnsi="Times New Roman" w:cs="Times New Roman"/>
          <w:color w:val="auto"/>
          <w:sz w:val="28"/>
          <w:szCs w:val="28"/>
          <w:highlight w:val="none"/>
          <w:lang w:val="en-US" w:eastAsia="zh-CN"/>
        </w:rPr>
        <w:t>等相关资料</w:t>
      </w:r>
      <w:r>
        <w:rPr>
          <w:rFonts w:hint="default" w:ascii="Times New Roman" w:hAnsi="Times New Roman" w:cs="Times New Roman" w:eastAsiaTheme="minorEastAsia"/>
          <w:color w:val="auto"/>
          <w:sz w:val="28"/>
          <w:szCs w:val="28"/>
          <w:highlight w:val="none"/>
          <w:lang w:val="en-US" w:eastAsia="zh-CN"/>
        </w:rPr>
        <w:t>复印件或扫描件</w:t>
      </w:r>
      <w:r>
        <w:rPr>
          <w:rFonts w:hint="eastAsia" w:ascii="Times New Roman" w:hAnsi="Times New Roman" w:cs="Times New Roman"/>
          <w:color w:val="auto"/>
          <w:sz w:val="28"/>
          <w:szCs w:val="28"/>
          <w:highlight w:val="none"/>
          <w:lang w:val="en-US" w:eastAsia="zh-CN"/>
        </w:rPr>
        <w:t>，并</w:t>
      </w:r>
      <w:r>
        <w:rPr>
          <w:rFonts w:hint="default" w:ascii="Times New Roman" w:hAnsi="Times New Roman" w:cs="Times New Roman" w:eastAsiaTheme="minorEastAsia"/>
          <w:color w:val="auto"/>
          <w:sz w:val="28"/>
          <w:szCs w:val="28"/>
          <w:highlight w:val="none"/>
          <w:lang w:val="en-US" w:eastAsia="zh-CN"/>
        </w:rPr>
        <w:t>装订入</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中</w:t>
      </w:r>
      <w:permEnd w:id="15"/>
      <w:r>
        <w:rPr>
          <w:rFonts w:hint="default" w:ascii="Times New Roman" w:hAnsi="Times New Roman" w:cs="Times New Roman" w:eastAsiaTheme="minorEastAsia"/>
          <w:color w:val="auto"/>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五</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（含分公司，不含子公司）</w:t>
      </w:r>
      <w:r>
        <w:rPr>
          <w:rFonts w:hint="default" w:ascii="Times New Roman" w:hAnsi="Times New Roman" w:cs="Times New Roman"/>
          <w:color w:val="auto"/>
          <w:sz w:val="28"/>
          <w:szCs w:val="28"/>
          <w:highlight w:val="none"/>
          <w:lang w:val="en-US" w:eastAsia="zh-CN"/>
        </w:rPr>
        <w:t>不得</w:t>
      </w:r>
      <w:r>
        <w:rPr>
          <w:rFonts w:hint="default" w:ascii="Times New Roman" w:hAnsi="Times New Roman" w:cs="Times New Roman" w:eastAsiaTheme="minorEastAsia"/>
          <w:color w:val="auto"/>
          <w:sz w:val="28"/>
          <w:szCs w:val="28"/>
          <w:highlight w:val="none"/>
          <w:lang w:val="en-US" w:eastAsia="zh-CN"/>
        </w:rPr>
        <w:t>存在</w:t>
      </w:r>
      <w:r>
        <w:rPr>
          <w:rFonts w:hint="default" w:ascii="Times New Roman" w:hAnsi="Times New Roman" w:cs="Times New Roman"/>
          <w:color w:val="auto"/>
          <w:sz w:val="28"/>
          <w:szCs w:val="28"/>
          <w:highlight w:val="none"/>
          <w:lang w:val="en-US" w:eastAsia="zh-CN"/>
        </w:rPr>
        <w:t>下列</w:t>
      </w:r>
      <w:r>
        <w:rPr>
          <w:rFonts w:hint="default" w:ascii="Times New Roman" w:hAnsi="Times New Roman" w:cs="Times New Roman" w:eastAsiaTheme="minorEastAsia"/>
          <w:color w:val="auto"/>
          <w:sz w:val="28"/>
          <w:szCs w:val="28"/>
          <w:highlight w:val="none"/>
          <w:lang w:val="en-US" w:eastAsia="zh-CN"/>
        </w:rPr>
        <w:t>情形之一</w:t>
      </w:r>
      <w:r>
        <w:rPr>
          <w:rFonts w:hint="eastAsia" w:ascii="Times New Roman" w:hAnsi="Times New Roman" w:cs="Times New Roman"/>
          <w:color w:val="auto"/>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（3）</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（4）供应商</w:t>
      </w:r>
      <w:r>
        <w:rPr>
          <w:rFonts w:hint="default" w:ascii="Times New Roman" w:hAnsi="Times New Roman" w:cs="Times New Roman" w:eastAsiaTheme="minorEastAsia"/>
          <w:color w:val="auto"/>
          <w:sz w:val="28"/>
          <w:szCs w:val="28"/>
          <w:highlight w:val="none"/>
          <w:lang w:val="en-US" w:eastAsia="zh-CN"/>
        </w:rPr>
        <w:t>在以往承接</w:t>
      </w:r>
      <w:r>
        <w:rPr>
          <w:rFonts w:hint="default" w:ascii="Times New Roman" w:hAnsi="Times New Roman" w:cs="Times New Roman"/>
          <w:color w:val="auto"/>
          <w:sz w:val="28"/>
          <w:szCs w:val="28"/>
          <w:highlight w:val="none"/>
          <w:lang w:val="en-US" w:eastAsia="zh-CN"/>
        </w:rPr>
        <w:t>亳州交通投资控股集团有限公司及下属企业</w:t>
      </w:r>
      <w:r>
        <w:rPr>
          <w:rFonts w:hint="default" w:ascii="Times New Roman" w:hAnsi="Times New Roman" w:cs="Times New Roman" w:eastAsiaTheme="minorEastAsia"/>
          <w:color w:val="auto"/>
          <w:sz w:val="28"/>
          <w:szCs w:val="28"/>
          <w:highlight w:val="none"/>
          <w:lang w:val="en-US" w:eastAsia="zh-CN"/>
        </w:rPr>
        <w:t>项目过程中被记入</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eastAsiaTheme="minorEastAsia"/>
          <w:color w:val="auto"/>
          <w:sz w:val="28"/>
          <w:szCs w:val="28"/>
          <w:highlight w:val="none"/>
          <w:lang w:val="en-US" w:eastAsia="zh-CN"/>
        </w:rPr>
        <w:t>黑名单</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w:t>
      </w:r>
    </w:p>
    <w:p w14:paraId="412962D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六</w:t>
      </w:r>
      <w:r>
        <w:rPr>
          <w:rFonts w:hint="default" w:ascii="Times New Roman" w:hAnsi="Times New Roman" w:cs="Times New Roman"/>
          <w:color w:val="auto"/>
          <w:sz w:val="28"/>
          <w:szCs w:val="28"/>
          <w:highlight w:val="none"/>
          <w:lang w:val="en-US" w:eastAsia="zh-CN"/>
        </w:rPr>
        <w:t>）本次采购</w:t>
      </w:r>
      <w:permStart w:id="16" w:edGrp="everyone"/>
      <w:r>
        <w:rPr>
          <w:rFonts w:hint="default" w:ascii="Times New Roman" w:hAnsi="Times New Roman" w:cs="Times New Roman"/>
          <w:color w:val="auto"/>
          <w:sz w:val="28"/>
          <w:szCs w:val="28"/>
          <w:highlight w:val="none"/>
          <w:lang w:val="en-US" w:eastAsia="zh-CN"/>
        </w:rPr>
        <w:t>不接受</w:t>
      </w:r>
      <w:permEnd w:id="16"/>
      <w:r>
        <w:rPr>
          <w:rFonts w:hint="default" w:ascii="Times New Roman" w:hAnsi="Times New Roman" w:cs="Times New Roman"/>
          <w:color w:val="auto"/>
          <w:sz w:val="28"/>
          <w:szCs w:val="28"/>
          <w:highlight w:val="none"/>
          <w:lang w:val="en-US" w:eastAsia="zh-CN"/>
        </w:rPr>
        <w:t>联合体。</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凡有意参加者，请于</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递交截止时间前到亳州交通投资控股集团有限公司官网（www.bzjkjt.com）、安徽省</w:t>
      </w:r>
      <w:r>
        <w:rPr>
          <w:rFonts w:hint="default" w:ascii="Times New Roman" w:hAnsi="Times New Roman" w:cs="Times New Roman"/>
          <w:color w:val="auto"/>
          <w:sz w:val="28"/>
          <w:szCs w:val="28"/>
          <w:highlight w:val="none"/>
          <w:lang w:val="en-US" w:eastAsia="zh-CN"/>
        </w:rPr>
        <w:t>招标</w:t>
      </w:r>
      <w:r>
        <w:rPr>
          <w:rFonts w:hint="default" w:ascii="Times New Roman" w:hAnsi="Times New Roman" w:cs="Times New Roman" w:eastAsiaTheme="minorEastAsia"/>
          <w:color w:val="auto"/>
          <w:sz w:val="28"/>
          <w:szCs w:val="28"/>
          <w:highlight w:val="none"/>
          <w:lang w:val="en-US" w:eastAsia="zh-CN"/>
        </w:rPr>
        <w:t>投标信息网（www.ahtba.org.cn）或优质采云采购平台（www.youzhicai.com）自行下载电子</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default" w:ascii="Times New Roman" w:hAnsi="Times New Roman" w:cs="Times New Roman" w:eastAsiaTheme="minorEastAsia"/>
          <w:i w:val="0"/>
          <w:iCs w:val="0"/>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（一）</w:t>
      </w:r>
      <w:r>
        <w:rPr>
          <w:rFonts w:hint="default" w:ascii="Times New Roman" w:hAnsi="Times New Roman" w:cs="Times New Roman"/>
          <w:color w:val="auto"/>
          <w:sz w:val="28"/>
          <w:szCs w:val="28"/>
          <w:highlight w:val="none"/>
          <w:lang w:val="en-US" w:eastAsia="zh-CN"/>
        </w:rPr>
        <w:t>开启时间（</w:t>
      </w:r>
      <w:r>
        <w:rPr>
          <w:rFonts w:hint="default" w:ascii="Times New Roman" w:hAnsi="Times New Roman" w:cs="Times New Roman" w:eastAsiaTheme="minorEastAsia"/>
          <w:color w:val="auto"/>
          <w:sz w:val="28"/>
          <w:szCs w:val="28"/>
          <w:highlight w:val="none"/>
          <w:lang w:val="en-US" w:eastAsia="zh-CN"/>
        </w:rPr>
        <w:t>响应文件递交的截止时间</w:t>
      </w:r>
      <w:r>
        <w:rPr>
          <w:rFonts w:hint="default" w:ascii="Times New Roman" w:hAnsi="Times New Roman" w:cs="Times New Roman"/>
          <w:color w:val="auto"/>
          <w:sz w:val="28"/>
          <w:szCs w:val="28"/>
          <w:highlight w:val="none"/>
          <w:lang w:val="en-US" w:eastAsia="zh-CN"/>
        </w:rPr>
        <w:t>）：</w:t>
      </w:r>
      <w:permStart w:id="17" w:edGrp="everyone"/>
      <w:r>
        <w:rPr>
          <w:rFonts w:hint="eastAsia" w:ascii="Times New Roman" w:hAnsi="Times New Roman" w:cs="Times New Roman"/>
          <w:b w:val="0"/>
          <w:bCs w:val="0"/>
          <w:i w:val="0"/>
          <w:iCs w:val="0"/>
          <w:color w:val="auto"/>
          <w:sz w:val="28"/>
          <w:szCs w:val="28"/>
          <w:highlight w:val="none"/>
          <w:u w:val="single"/>
          <w:lang w:val="en-US" w:eastAsia="zh-CN"/>
        </w:rPr>
        <w:t>2026</w:t>
      </w:r>
      <w:r>
        <w:rPr>
          <w:rFonts w:hint="default" w:ascii="Times New Roman" w:hAnsi="Times New Roman" w:cs="Times New Roman" w:eastAsiaTheme="minorEastAsia"/>
          <w:b w:val="0"/>
          <w:bCs w:val="0"/>
          <w:i w:val="0"/>
          <w:iCs w:val="0"/>
          <w:color w:val="auto"/>
          <w:sz w:val="28"/>
          <w:szCs w:val="28"/>
          <w:highlight w:val="none"/>
          <w:lang w:val="en-US" w:eastAsia="zh-CN"/>
        </w:rPr>
        <w:t>年</w:t>
      </w:r>
      <w:r>
        <w:rPr>
          <w:rFonts w:hint="eastAsia" w:ascii="Times New Roman" w:hAnsi="Times New Roman" w:cs="Times New Roman"/>
          <w:b w:val="0"/>
          <w:bCs w:val="0"/>
          <w:i w:val="0"/>
          <w:iCs w:val="0"/>
          <w:color w:val="auto"/>
          <w:sz w:val="28"/>
          <w:szCs w:val="28"/>
          <w:highlight w:val="none"/>
          <w:u w:val="single"/>
          <w:lang w:val="en-US" w:eastAsia="zh-CN"/>
        </w:rPr>
        <w:t>4</w:t>
      </w:r>
      <w:r>
        <w:rPr>
          <w:rFonts w:hint="default" w:ascii="Times New Roman" w:hAnsi="Times New Roman" w:cs="Times New Roman" w:eastAsiaTheme="minorEastAsia"/>
          <w:b w:val="0"/>
          <w:bCs w:val="0"/>
          <w:i w:val="0"/>
          <w:iCs w:val="0"/>
          <w:color w:val="auto"/>
          <w:sz w:val="28"/>
          <w:szCs w:val="28"/>
          <w:highlight w:val="none"/>
          <w:lang w:val="en-US" w:eastAsia="zh-CN"/>
        </w:rPr>
        <w:t>月</w:t>
      </w:r>
      <w:r>
        <w:rPr>
          <w:rFonts w:hint="eastAsia" w:ascii="Times New Roman" w:hAnsi="Times New Roman" w:cs="Times New Roman"/>
          <w:b w:val="0"/>
          <w:bCs w:val="0"/>
          <w:i w:val="0"/>
          <w:iCs w:val="0"/>
          <w:color w:val="auto"/>
          <w:sz w:val="28"/>
          <w:szCs w:val="28"/>
          <w:highlight w:val="none"/>
          <w:u w:val="single"/>
          <w:lang w:val="en-US" w:eastAsia="zh-CN"/>
        </w:rPr>
        <w:t>24</w:t>
      </w:r>
      <w:r>
        <w:rPr>
          <w:rFonts w:hint="default" w:ascii="Times New Roman" w:hAnsi="Times New Roman" w:cs="Times New Roman" w:eastAsiaTheme="minorEastAsia"/>
          <w:b w:val="0"/>
          <w:bCs w:val="0"/>
          <w:i w:val="0"/>
          <w:iCs w:val="0"/>
          <w:color w:val="auto"/>
          <w:sz w:val="28"/>
          <w:szCs w:val="28"/>
          <w:highlight w:val="none"/>
          <w:lang w:val="en-US" w:eastAsia="zh-CN"/>
        </w:rPr>
        <w:t>日</w:t>
      </w:r>
      <w:r>
        <w:rPr>
          <w:rFonts w:hint="eastAsia" w:ascii="Times New Roman" w:hAnsi="Times New Roman" w:cs="Times New Roman"/>
          <w:b w:val="0"/>
          <w:bCs w:val="0"/>
          <w:i w:val="0"/>
          <w:iCs w:val="0"/>
          <w:color w:val="auto"/>
          <w:sz w:val="28"/>
          <w:szCs w:val="28"/>
          <w:highlight w:val="none"/>
          <w:u w:val="single"/>
          <w:lang w:val="en-US" w:eastAsia="zh-CN"/>
        </w:rPr>
        <w:t>15</w:t>
      </w:r>
      <w:r>
        <w:rPr>
          <w:rFonts w:hint="default" w:ascii="Times New Roman" w:hAnsi="Times New Roman" w:cs="Times New Roman" w:eastAsiaTheme="minorEastAsia"/>
          <w:b w:val="0"/>
          <w:bCs w:val="0"/>
          <w:i w:val="0"/>
          <w:iCs w:val="0"/>
          <w:color w:val="auto"/>
          <w:sz w:val="28"/>
          <w:szCs w:val="28"/>
          <w:highlight w:val="none"/>
          <w:u w:val="none"/>
          <w:lang w:val="en-US" w:eastAsia="zh-CN"/>
        </w:rPr>
        <w:t>时</w:t>
      </w:r>
      <w:r>
        <w:rPr>
          <w:rFonts w:hint="eastAsia" w:ascii="Times New Roman" w:hAnsi="Times New Roman" w:cs="Times New Roman"/>
          <w:b w:val="0"/>
          <w:bCs w:val="0"/>
          <w:i w:val="0"/>
          <w:iCs w:val="0"/>
          <w:color w:val="auto"/>
          <w:sz w:val="28"/>
          <w:szCs w:val="28"/>
          <w:highlight w:val="none"/>
          <w:u w:val="single"/>
          <w:lang w:val="en-US" w:eastAsia="zh-CN"/>
        </w:rPr>
        <w:t>00</w:t>
      </w:r>
      <w:r>
        <w:rPr>
          <w:rFonts w:hint="default" w:ascii="Times New Roman" w:hAnsi="Times New Roman" w:cs="Times New Roman" w:eastAsiaTheme="minorEastAsia"/>
          <w:b w:val="0"/>
          <w:bCs w:val="0"/>
          <w:i w:val="0"/>
          <w:iCs w:val="0"/>
          <w:color w:val="auto"/>
          <w:sz w:val="28"/>
          <w:szCs w:val="28"/>
          <w:highlight w:val="none"/>
          <w:u w:val="none"/>
          <w:lang w:val="en-US" w:eastAsia="zh-CN"/>
        </w:rPr>
        <w:t>分</w:t>
      </w:r>
      <w:permEnd w:id="17"/>
      <w:r>
        <w:rPr>
          <w:rFonts w:hint="default" w:ascii="Times New Roman" w:hAnsi="Times New Roman" w:cs="Times New Roman"/>
          <w:b w:val="0"/>
          <w:bCs w:val="0"/>
          <w:i w:val="0"/>
          <w:iCs w:val="0"/>
          <w:color w:val="auto"/>
          <w:sz w:val="28"/>
          <w:szCs w:val="28"/>
          <w:highlight w:val="none"/>
          <w:u w:val="none"/>
          <w:lang w:val="en-US" w:eastAsia="zh-CN"/>
        </w:rPr>
        <w:t>（北京时间）</w:t>
      </w:r>
      <w:r>
        <w:rPr>
          <w:rFonts w:hint="eastAsia" w:ascii="Times New Roman" w:hAnsi="Times New Roman" w:cs="Times New Roman"/>
          <w:b w:val="0"/>
          <w:bCs w:val="0"/>
          <w:i w:val="0"/>
          <w:iCs w:val="0"/>
          <w:color w:val="auto"/>
          <w:sz w:val="28"/>
          <w:szCs w:val="28"/>
          <w:highlight w:val="none"/>
          <w:u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i w:val="0"/>
          <w:iCs w:val="0"/>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响应文件递交</w:t>
      </w:r>
      <w:r>
        <w:rPr>
          <w:rFonts w:hint="default" w:ascii="Times New Roman" w:hAnsi="Times New Roman" w:cs="Times New Roman" w:eastAsiaTheme="minorEastAsia"/>
          <w:i w:val="0"/>
          <w:iCs w:val="0"/>
          <w:color w:val="auto"/>
          <w:sz w:val="28"/>
          <w:szCs w:val="28"/>
          <w:highlight w:val="none"/>
          <w:lang w:val="en-US" w:eastAsia="zh-CN"/>
        </w:rPr>
        <w:t>地点</w:t>
      </w:r>
      <w:r>
        <w:rPr>
          <w:rFonts w:hint="default" w:ascii="Times New Roman" w:hAnsi="Times New Roman" w:cs="Times New Roman"/>
          <w:i w:val="0"/>
          <w:iCs w:val="0"/>
          <w:color w:val="auto"/>
          <w:sz w:val="28"/>
          <w:szCs w:val="28"/>
          <w:highlight w:val="none"/>
          <w:lang w:val="en-US" w:eastAsia="zh-CN"/>
        </w:rPr>
        <w:t>：</w:t>
      </w:r>
      <w:permStart w:id="18" w:edGrp="everyone"/>
      <w:r>
        <w:rPr>
          <w:rFonts w:hint="default" w:ascii="Times New Roman" w:hAnsi="Times New Roman" w:cs="Times New Roman"/>
          <w:color w:val="auto"/>
          <w:sz w:val="28"/>
          <w:szCs w:val="28"/>
          <w:highlight w:val="none"/>
          <w:u w:val="single"/>
          <w:lang w:val="en-US" w:eastAsia="zh-CN"/>
        </w:rPr>
        <w:t>安徽省亳州市高新技术产业开发区神农大道与酒城大道交叉口西北高铁南站金融商务中心2号楼1层108开标室</w:t>
      </w:r>
      <w:r>
        <w:rPr>
          <w:rFonts w:hint="default" w:ascii="Times New Roman" w:hAnsi="Times New Roman" w:cs="Times New Roman"/>
          <w:color w:val="auto"/>
          <w:sz w:val="28"/>
          <w:szCs w:val="28"/>
          <w:highlight w:val="none"/>
          <w:lang w:val="en-US" w:eastAsia="zh-CN"/>
        </w:rPr>
        <w:t>。</w:t>
      </w:r>
      <w:permEnd w:id="18"/>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响应文件应由供应商的法定代表人（单位负责人）或其授权的代理人递交（允许邮寄的采购项目除外），</w:t>
      </w:r>
      <w:r>
        <w:rPr>
          <w:rFonts w:hint="default" w:ascii="Times New Roman" w:hAnsi="Times New Roman" w:cs="Times New Roman" w:eastAsiaTheme="minorEastAsia"/>
          <w:color w:val="auto"/>
          <w:sz w:val="28"/>
          <w:szCs w:val="28"/>
          <w:highlight w:val="none"/>
          <w:lang w:val="en-US" w:eastAsia="zh-CN"/>
        </w:rPr>
        <w:t>逾期送达的、未送达指定地点的或者不按照</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文件要求密封的</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人将予以拒收</w:t>
      </w:r>
      <w:r>
        <w:rPr>
          <w:rFonts w:hint="default" w:ascii="Times New Roman" w:hAnsi="Times New Roman" w:cs="Times New Roman"/>
          <w:color w:val="auto"/>
          <w:sz w:val="28"/>
          <w:szCs w:val="28"/>
          <w:highlight w:val="none"/>
          <w:lang w:val="en-US" w:eastAsia="zh-CN"/>
        </w:rPr>
        <w:t>。</w:t>
      </w:r>
    </w:p>
    <w:p w14:paraId="7C53CE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本</w:t>
      </w:r>
      <w:r>
        <w:rPr>
          <w:rFonts w:hint="default" w:ascii="Times New Roman" w:hAnsi="Times New Roman" w:cs="Times New Roman"/>
          <w:color w:val="auto"/>
          <w:sz w:val="28"/>
          <w:szCs w:val="28"/>
          <w:highlight w:val="none"/>
          <w:lang w:val="en-US" w:eastAsia="zh-CN"/>
        </w:rPr>
        <w:t>次采购活动</w:t>
      </w:r>
      <w:permStart w:id="19" w:edGrp="everyone"/>
      <w:r>
        <w:rPr>
          <w:rFonts w:hint="default" w:ascii="Times New Roman" w:hAnsi="Times New Roman" w:cs="Times New Roman"/>
          <w:color w:val="auto"/>
          <w:sz w:val="28"/>
          <w:szCs w:val="28"/>
          <w:highlight w:val="none"/>
          <w:u w:val="single"/>
          <w:lang w:val="en-US" w:eastAsia="zh-CN"/>
        </w:rPr>
        <w:t>不</w:t>
      </w:r>
      <w:r>
        <w:rPr>
          <w:rFonts w:hint="default" w:ascii="Times New Roman" w:hAnsi="Times New Roman" w:cs="Times New Roman" w:eastAsiaTheme="minorEastAsia"/>
          <w:color w:val="auto"/>
          <w:sz w:val="28"/>
          <w:szCs w:val="28"/>
          <w:highlight w:val="none"/>
          <w:u w:val="single"/>
          <w:lang w:val="en-US" w:eastAsia="zh-CN"/>
        </w:rPr>
        <w:t>允许</w:t>
      </w:r>
      <w:permEnd w:id="19"/>
      <w:r>
        <w:rPr>
          <w:rFonts w:hint="default" w:ascii="Times New Roman" w:hAnsi="Times New Roman" w:cs="Times New Roman"/>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本项目</w:t>
      </w:r>
      <w:r>
        <w:rPr>
          <w:rFonts w:hint="default"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保证金：</w:t>
      </w:r>
      <w:permStart w:id="20" w:edGrp="everyone"/>
      <w:r>
        <w:rPr>
          <w:rFonts w:hint="eastAsia" w:ascii="Times New Roman" w:hAnsi="Times New Roman" w:cs="Times New Roman"/>
          <w:color w:val="auto"/>
          <w:sz w:val="28"/>
          <w:szCs w:val="28"/>
          <w:highlight w:val="none"/>
          <w:u w:val="single"/>
          <w:lang w:val="en-US" w:eastAsia="zh-CN"/>
        </w:rPr>
        <w:t>10</w:t>
      </w:r>
      <w:r>
        <w:rPr>
          <w:rFonts w:hint="default" w:ascii="Times New Roman" w:hAnsi="Times New Roman" w:cs="Times New Roman"/>
          <w:color w:val="auto"/>
          <w:sz w:val="28"/>
          <w:szCs w:val="28"/>
          <w:highlight w:val="none"/>
          <w:u w:val="single"/>
          <w:lang w:val="en-US" w:eastAsia="zh-CN"/>
        </w:rPr>
        <w:t>000元</w:t>
      </w:r>
      <w:r>
        <w:rPr>
          <w:rFonts w:hint="default" w:ascii="Times New Roman" w:hAnsi="Times New Roman" w:cs="Times New Roman" w:eastAsiaTheme="minorEastAsia"/>
          <w:color w:val="auto"/>
          <w:sz w:val="28"/>
          <w:szCs w:val="28"/>
          <w:highlight w:val="none"/>
          <w:lang w:val="en-US" w:eastAsia="zh-CN"/>
        </w:rPr>
        <w:t>（人民币）</w:t>
      </w:r>
      <w:permEnd w:id="20"/>
      <w:r>
        <w:rPr>
          <w:rFonts w:hint="default" w:ascii="Times New Roman" w:hAnsi="Times New Roman" w:cs="Times New Roman" w:eastAsiaTheme="minorEastAsia"/>
          <w:color w:val="auto"/>
          <w:sz w:val="28"/>
          <w:szCs w:val="28"/>
          <w:highlight w:val="none"/>
          <w:lang w:val="en-US" w:eastAsia="zh-CN"/>
        </w:rPr>
        <w:t>，缴纳方式详见</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w:t>
      </w:r>
      <w:r>
        <w:rPr>
          <w:rFonts w:hint="default" w:ascii="Times New Roman" w:hAnsi="Times New Roman" w:cs="Times New Roman" w:eastAsiaTheme="minorEastAsia"/>
          <w:color w:val="auto"/>
          <w:sz w:val="28"/>
          <w:szCs w:val="28"/>
          <w:highlight w:val="none"/>
          <w:lang w:val="en-US" w:eastAsia="zh-CN"/>
        </w:rPr>
        <w:t xml:space="preserve"> </w:t>
      </w:r>
      <w:r>
        <w:rPr>
          <w:rFonts w:hint="default" w:ascii="Times New Roman" w:hAnsi="Times New Roman" w:cs="Times New Roman"/>
          <w:color w:val="auto"/>
          <w:sz w:val="28"/>
          <w:szCs w:val="28"/>
          <w:highlight w:val="none"/>
          <w:lang w:val="en-US" w:eastAsia="zh-CN"/>
        </w:rPr>
        <w:t>购</w:t>
      </w:r>
      <w:r>
        <w:rPr>
          <w:rFonts w:hint="default" w:ascii="Times New Roman" w:hAnsi="Times New Roman" w:cs="Times New Roman" w:eastAsiaTheme="minorEastAsia"/>
          <w:color w:val="auto"/>
          <w:sz w:val="28"/>
          <w:szCs w:val="28"/>
          <w:highlight w:val="none"/>
          <w:lang w:val="en-US" w:eastAsia="zh-CN"/>
        </w:rPr>
        <w:t xml:space="preserve"> 人：</w:t>
      </w:r>
      <w:permStart w:id="21" w:edGrp="everyone"/>
      <w:r>
        <w:rPr>
          <w:rFonts w:hint="default" w:ascii="Times New Roman" w:hAnsi="Times New Roman" w:cs="Times New Roman"/>
          <w:color w:val="auto"/>
          <w:sz w:val="28"/>
          <w:szCs w:val="28"/>
          <w:highlight w:val="none"/>
          <w:lang w:val="en-US" w:eastAsia="zh-CN"/>
        </w:rPr>
        <w:t>安徽通达利交通建设管理有限公司</w:t>
      </w:r>
    </w:p>
    <w:permEnd w:id="21"/>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w:t>
      </w:r>
      <w:permStart w:id="22" w:edGrp="everyone"/>
      <w:r>
        <w:rPr>
          <w:rFonts w:hint="default" w:ascii="Times New Roman" w:hAnsi="Times New Roman" w:cs="Times New Roman"/>
          <w:color w:val="auto"/>
          <w:sz w:val="28"/>
          <w:szCs w:val="28"/>
          <w:highlight w:val="none"/>
          <w:lang w:val="en-US" w:eastAsia="zh-CN"/>
        </w:rPr>
        <w:t>安徽省亳州市谯城区大杨镇省道309线亳州收费站</w:t>
      </w:r>
      <w:permEnd w:id="22"/>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w:t>
      </w:r>
      <w:permStart w:id="23" w:edGrp="everyone"/>
      <w:r>
        <w:rPr>
          <w:rFonts w:hint="default" w:ascii="Times New Roman" w:hAnsi="Times New Roman" w:cs="Times New Roman"/>
          <w:color w:val="auto"/>
          <w:sz w:val="28"/>
          <w:szCs w:val="28"/>
          <w:highlight w:val="none"/>
          <w:lang w:val="en-US" w:eastAsia="zh-CN"/>
        </w:rPr>
        <w:t>王</w:t>
      </w:r>
      <w:r>
        <w:rPr>
          <w:rFonts w:hint="eastAsia" w:ascii="Times New Roman" w:hAnsi="Times New Roman" w:cs="Times New Roman"/>
          <w:color w:val="auto"/>
          <w:sz w:val="28"/>
          <w:szCs w:val="28"/>
          <w:highlight w:val="none"/>
          <w:lang w:val="en-US" w:eastAsia="zh-CN"/>
        </w:rPr>
        <w:t>先生</w:t>
      </w:r>
      <w:permEnd w:id="23"/>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w:t>
      </w:r>
      <w:permStart w:id="24" w:edGrp="everyone"/>
      <w:r>
        <w:rPr>
          <w:rFonts w:hint="default" w:ascii="Times New Roman" w:hAnsi="Times New Roman" w:cs="Times New Roman"/>
          <w:color w:val="auto"/>
          <w:sz w:val="28"/>
          <w:szCs w:val="28"/>
          <w:highlight w:val="none"/>
          <w:lang w:val="en-US" w:eastAsia="zh-CN"/>
        </w:rPr>
        <w:t>13225814866</w:t>
      </w:r>
      <w:permEnd w:id="24"/>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平台：亳州交控集团招投标中心</w:t>
      </w:r>
    </w:p>
    <w:p w14:paraId="659A0A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w:t>
      </w:r>
      <w:permStart w:id="25" w:edGrp="everyone"/>
      <w:r>
        <w:rPr>
          <w:rFonts w:hint="default" w:ascii="Times New Roman" w:hAnsi="Times New Roman" w:cs="Times New Roman" w:eastAsiaTheme="minorEastAsia"/>
          <w:color w:val="auto"/>
          <w:sz w:val="28"/>
          <w:szCs w:val="28"/>
          <w:highlight w:val="none"/>
          <w:lang w:val="en-US" w:eastAsia="zh-CN"/>
        </w:rPr>
        <w:t>安徽省亳州市高新技术开发区神农大道与酒城大道交叉口西北高铁南站金融商务中心2号楼5层514室</w:t>
      </w:r>
      <w:permEnd w:id="25"/>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话：0558-5190035</w:t>
      </w:r>
      <w:r>
        <w:rPr>
          <w:rFonts w:hint="default" w:ascii="Times New Roman" w:hAnsi="Times New Roman" w:cs="Times New Roman"/>
          <w:color w:val="auto"/>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4118C90A">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cs="Times New Roman" w:eastAsiaTheme="minorEastAsia"/>
          <w:color w:val="auto"/>
          <w:sz w:val="28"/>
          <w:szCs w:val="28"/>
          <w:highlight w:val="none"/>
          <w:lang w:val="en-US" w:eastAsia="zh-CN"/>
        </w:rPr>
      </w:pPr>
      <w:permStart w:id="26" w:edGrp="everyone"/>
      <w:r>
        <w:rPr>
          <w:rFonts w:hint="default" w:ascii="Times New Roman" w:hAnsi="Times New Roman" w:cs="Times New Roman" w:eastAsiaTheme="minorEastAsia"/>
          <w:color w:val="auto"/>
          <w:sz w:val="28"/>
          <w:szCs w:val="28"/>
          <w:highlight w:val="none"/>
          <w:lang w:val="en-US" w:eastAsia="zh-CN"/>
        </w:rPr>
        <w:t>安徽通达利交通建设管理有限公司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cs="Times New Roman" w:eastAsiaTheme="minorEastAsia"/>
          <w:color w:val="auto"/>
          <w:sz w:val="28"/>
          <w:szCs w:val="28"/>
          <w:highlight w:val="none"/>
          <w:lang w:val="en-US" w:eastAsia="zh-CN"/>
        </w:rPr>
        <w:t>202</w:t>
      </w: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eastAsiaTheme="minorEastAsia"/>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eastAsiaTheme="minorEastAsia"/>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17</w:t>
      </w:r>
      <w:r>
        <w:rPr>
          <w:rFonts w:hint="default" w:ascii="Times New Roman" w:hAnsi="Times New Roman" w:cs="Times New Roman" w:eastAsiaTheme="minorEastAsia"/>
          <w:color w:val="auto"/>
          <w:sz w:val="28"/>
          <w:szCs w:val="28"/>
          <w:highlight w:val="none"/>
          <w:lang w:val="en-US" w:eastAsia="zh-CN"/>
        </w:rPr>
        <w:t>日</w:t>
      </w:r>
      <w:permEnd w:id="26"/>
      <w:r>
        <w:rPr>
          <w:rFonts w:hint="default" w:ascii="Times New Roman" w:hAnsi="Times New Roman" w:eastAsia="仿宋_GB2312" w:cs="Times New Roman"/>
          <w:color w:val="auto"/>
          <w:kern w:val="0"/>
          <w:sz w:val="32"/>
          <w:szCs w:val="32"/>
          <w:highlight w:val="none"/>
          <w:lang w:val="en-US" w:eastAsia="zh-CN"/>
        </w:rPr>
        <w:br w:type="page"/>
      </w: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27"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8"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29" w:edGrp="everyone"/>
            <w:r>
              <w:rPr>
                <w:rFonts w:hint="eastAsia" w:ascii="Times New Roman" w:hAnsi="Times New Roman" w:cs="Times New Roman"/>
                <w:color w:val="auto"/>
                <w:szCs w:val="21"/>
                <w:highlight w:val="none"/>
                <w:u w:val="single"/>
                <w:lang w:val="en-US" w:eastAsia="zh-CN"/>
              </w:rPr>
              <w:t>2026</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4</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22</w:t>
            </w:r>
            <w:r>
              <w:rPr>
                <w:rFonts w:hint="eastAsia" w:ascii="Times New Roman" w:hAnsi="Times New Roman" w:cs="Times New Roman"/>
                <w:color w:val="auto"/>
                <w:szCs w:val="21"/>
                <w:highlight w:val="none"/>
                <w:u w:val="none"/>
                <w:lang w:val="en-US" w:eastAsia="zh-CN"/>
              </w:rPr>
              <w:t>日前</w:t>
            </w:r>
            <w:permEnd w:id="29"/>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0"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1"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FF2C4F5">
            <w:pPr>
              <w:autoSpaceDE w:val="0"/>
              <w:autoSpaceDN w:val="0"/>
              <w:adjustRightInd w:val="0"/>
              <w:snapToGrid w:val="0"/>
              <w:spacing w:line="440" w:lineRule="exact"/>
              <w:jc w:val="left"/>
              <w:rPr>
                <w:rFonts w:hint="eastAsia" w:hAnsi="宋体"/>
                <w:color w:val="auto"/>
                <w:szCs w:val="21"/>
              </w:rPr>
            </w:pPr>
            <w:permStart w:id="32" w:edGrp="everyone"/>
            <w:r>
              <w:rPr>
                <w:rFonts w:hint="eastAsia" w:hAnsi="宋体"/>
                <w:color w:val="auto"/>
                <w:szCs w:val="21"/>
              </w:rPr>
              <w:t>不需要</w:t>
            </w:r>
            <w:r>
              <w:rPr>
                <w:rFonts w:hint="eastAsia" w:hAnsi="宋体"/>
                <w:color w:val="auto"/>
                <w:szCs w:val="21"/>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 xml:space="preserve">需 </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2"/>
            <w:r>
              <w:rPr>
                <w:rFonts w:hint="default" w:ascii="Times New Roman" w:hAnsi="Times New Roman" w:cs="Times New Roman"/>
                <w:color w:val="auto"/>
                <w:szCs w:val="21"/>
                <w:highlight w:val="none"/>
              </w:rPr>
              <w:t>的形式：</w:t>
            </w:r>
            <w:permStart w:id="33" w:edGrp="everyone"/>
            <w:r>
              <w:rPr>
                <w:rFonts w:hint="default" w:ascii="Times New Roman" w:hAnsi="Times New Roman" w:cs="Times New Roman"/>
                <w:color w:val="auto"/>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4" w:edGrp="everyone"/>
            <w:r>
              <w:rPr>
                <w:rFonts w:hint="eastAsia" w:ascii="Times New Roman" w:hAnsi="Times New Roman" w:cs="Times New Roman"/>
                <w:color w:val="auto"/>
                <w:szCs w:val="21"/>
                <w:highlight w:val="none"/>
                <w:lang w:val="en-US" w:eastAsia="zh-CN"/>
              </w:rPr>
              <w:t>10</w:t>
            </w:r>
            <w:r>
              <w:rPr>
                <w:rFonts w:hint="eastAsia" w:ascii="Times New Roman" w:hAnsi="Times New Roman" w:cs="Times New Roman"/>
                <w:color w:val="auto"/>
                <w:szCs w:val="21"/>
                <w:highlight w:val="none"/>
                <w:u w:val="single"/>
                <w:lang w:val="en-US" w:eastAsia="zh-CN"/>
              </w:rPr>
              <w:t>000元</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yellow"/>
                <w:lang w:val="en-US" w:eastAsia="zh-CN"/>
              </w:rPr>
            </w:pPr>
            <w:r>
              <w:rPr>
                <w:rFonts w:hint="eastAsia" w:ascii="Times New Roman" w:hAnsi="Times New Roman" w:cs="Times New Roman"/>
                <w:b/>
                <w:bCs/>
                <w:color w:val="auto"/>
                <w:szCs w:val="21"/>
                <w:highlight w:val="yellow"/>
                <w:lang w:val="en-US" w:eastAsia="zh-CN"/>
              </w:rPr>
              <w:t>提示：</w:t>
            </w:r>
            <w:r>
              <w:rPr>
                <w:rFonts w:hint="eastAsia"/>
                <w:b/>
                <w:bCs/>
                <w:color w:val="auto"/>
                <w:highlight w:val="yellow"/>
              </w:rPr>
              <w:t>汇款时</w:t>
            </w:r>
            <w:r>
              <w:rPr>
                <w:rFonts w:hint="eastAsia"/>
                <w:b/>
                <w:bCs/>
                <w:color w:val="auto"/>
                <w:highlight w:val="yellow"/>
                <w:lang w:val="en-US" w:eastAsia="zh-CN"/>
              </w:rPr>
              <w:t>注意</w:t>
            </w:r>
            <w:r>
              <w:rPr>
                <w:rFonts w:hint="eastAsia"/>
                <w:b/>
                <w:bCs/>
                <w:color w:val="auto"/>
                <w:highlight w:val="yellow"/>
              </w:rPr>
              <w:t>“亳（音bó）</w:t>
            </w:r>
            <w:r>
              <w:rPr>
                <w:rFonts w:hint="eastAsia"/>
                <w:b/>
                <w:bCs/>
                <w:color w:val="auto"/>
                <w:highlight w:val="yellow"/>
                <w:lang w:val="en-US" w:eastAsia="zh-CN"/>
              </w:rPr>
              <w:t>州</w:t>
            </w:r>
            <w:r>
              <w:rPr>
                <w:rFonts w:hint="eastAsia"/>
                <w:b/>
                <w:bCs/>
                <w:color w:val="auto"/>
                <w:highlight w:val="yellow"/>
              </w:rPr>
              <w:t>”</w:t>
            </w:r>
            <w:r>
              <w:rPr>
                <w:rFonts w:hint="eastAsia"/>
                <w:b/>
                <w:bCs/>
                <w:color w:val="auto"/>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5" w:edGrp="everyone"/>
            <w:r>
              <w:rPr>
                <w:rFonts w:hint="eastAsia" w:ascii="Times New Roman" w:hAnsi="Times New Roman" w:cs="Times New Roman"/>
                <w:color w:val="auto"/>
                <w:szCs w:val="21"/>
                <w:highlight w:val="none"/>
                <w:lang w:val="en-US" w:eastAsia="zh-CN"/>
              </w:rPr>
              <w:t>BZJK-2026-003号保证金</w:t>
            </w:r>
            <w:permEnd w:id="3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6"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36"/>
          </w:p>
          <w:p w14:paraId="4A0401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permStart w:id="37" w:edGrp="everyone"/>
            <w:r>
              <w:rPr>
                <w:rFonts w:hint="eastAsia" w:ascii="Times New Roman" w:hAnsi="Times New Roman" w:cs="Times New Roman"/>
                <w:color w:val="auto"/>
                <w:szCs w:val="21"/>
                <w:highlight w:val="none"/>
                <w:lang w:val="en-US" w:eastAsia="zh-CN"/>
              </w:rPr>
              <w:t>开启地址：</w:t>
            </w:r>
            <w:r>
              <w:rPr>
                <w:rFonts w:hint="default" w:ascii="Times New Roman" w:hAnsi="Times New Roman" w:cs="Times New Roman"/>
                <w:color w:val="auto"/>
                <w:szCs w:val="21"/>
                <w:highlight w:val="none"/>
                <w:u w:val="none"/>
                <w:lang w:val="en-US" w:eastAsia="zh-CN"/>
              </w:rPr>
              <w:t>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采购人：安徽通达利交通建设管理有限公司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2026-2028年五亳高速谯涡段道路、桥涵定期检测及309省道桥涵定期检测项目</w:t>
            </w:r>
            <w:r>
              <w:rPr>
                <w:rFonts w:hint="eastAsia" w:ascii="Times New Roman" w:hAnsi="Times New Roman" w:cs="Times New Roman"/>
                <w:color w:val="auto"/>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w:t>
            </w:r>
            <w:r>
              <w:rPr>
                <w:rFonts w:hint="eastAsia" w:ascii="Times New Roman" w:hAnsi="Times New Roman" w:cs="Times New Roman"/>
                <w:color w:val="auto"/>
                <w:szCs w:val="21"/>
                <w:highlight w:val="none"/>
                <w:lang w:val="en-US" w:eastAsia="zh-CN"/>
              </w:rPr>
              <w:t>BZJK-2026-</w:t>
            </w:r>
            <w:r>
              <w:rPr>
                <w:rFonts w:hint="eastAsia" w:ascii="Times New Roman" w:hAnsi="Times New Roman" w:cs="Times New Roman"/>
                <w:color w:val="auto"/>
                <w:szCs w:val="21"/>
                <w:highlight w:val="none"/>
                <w:u w:val="single"/>
                <w:lang w:val="en-US" w:eastAsia="zh-CN"/>
              </w:rPr>
              <w:t>003</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2026</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4</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24</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15</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u w:val="single"/>
                <w:lang w:val="en-US" w:eastAsia="zh-CN"/>
              </w:rPr>
              <w:t>安徽省亳州市高新技术开发区神农大道与酒城大道交叉口西北高铁南站金融商务中心2号楼5层514室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39"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Cs w:val="21"/>
                <w:highlight w:val="none"/>
                <w:lang w:val="en-US" w:eastAsia="zh-CN"/>
              </w:rPr>
              <w:t>不要求</w:t>
            </w:r>
          </w:p>
          <w:p w14:paraId="3A7664D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要求</w:t>
            </w:r>
          </w:p>
          <w:p w14:paraId="7A1ACA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auto"/>
                <w:lang w:val="en-US" w:eastAsia="zh-CN"/>
              </w:rPr>
            </w:pPr>
            <w:r>
              <w:rPr>
                <w:rFonts w:hint="eastAsia" w:ascii="Times New Roman" w:hAnsi="Times New Roman" w:cs="Times New Roman"/>
                <w:color w:val="auto"/>
                <w:szCs w:val="21"/>
                <w:highlight w:val="none"/>
                <w:lang w:val="en-US" w:eastAsia="zh-CN"/>
              </w:rPr>
              <w:t>采购人银行账户：</w:t>
            </w:r>
          </w:p>
          <w:p w14:paraId="7E6447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开户名称：安徽通达利交通建设管理有限公司</w:t>
            </w:r>
          </w:p>
          <w:p w14:paraId="501169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开户银行：工商银行亳州新区支行</w:t>
            </w:r>
          </w:p>
          <w:p w14:paraId="2AE3D4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银行账号：1318272509000089051</w:t>
            </w:r>
          </w:p>
          <w:permEnd w:id="39"/>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0"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0"/>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41" w:edGrp="everyone"/>
            <w:r>
              <w:rPr>
                <w:rFonts w:hint="eastAsia" w:ascii="Times New Roman" w:hAnsi="Times New Roman" w:cs="Times New Roman"/>
                <w:b/>
                <w:bCs/>
                <w:color w:val="auto"/>
                <w:szCs w:val="21"/>
                <w:highlight w:val="none"/>
                <w:lang w:val="en-US" w:eastAsia="zh-CN"/>
              </w:rPr>
              <w:t>成交金额的10%</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2"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服务期满且成果文件经采购人确认无误后退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default"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default"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default"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default"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6" w:name="_Toc179632549"/>
      <w:bookmarkStart w:id="17" w:name="_Toc246996921"/>
      <w:bookmarkStart w:id="18" w:name="_Toc144974500"/>
      <w:bookmarkStart w:id="19" w:name="_Toc152042308"/>
      <w:bookmarkStart w:id="20" w:name="_Toc296602423"/>
      <w:bookmarkStart w:id="21" w:name="_Toc246996178"/>
      <w:bookmarkStart w:id="22" w:name="_Toc152045532"/>
      <w:bookmarkStart w:id="23" w:name="_Toc247085692"/>
      <w:r>
        <w:rPr>
          <w:rFonts w:hint="eastAsia"/>
          <w:color w:val="auto"/>
          <w:lang w:val="en-US" w:eastAsia="zh-CN"/>
        </w:rPr>
        <w:t>1.</w:t>
      </w:r>
      <w:bookmarkEnd w:id="16"/>
      <w:bookmarkEnd w:id="17"/>
      <w:bookmarkEnd w:id="18"/>
      <w:bookmarkEnd w:id="19"/>
      <w:bookmarkEnd w:id="20"/>
      <w:bookmarkEnd w:id="21"/>
      <w:bookmarkEnd w:id="22"/>
      <w:bookmarkEnd w:id="23"/>
      <w:r>
        <w:rPr>
          <w:rFonts w:hint="eastAsia"/>
          <w:color w:val="auto"/>
        </w:rPr>
        <w:t>合格</w:t>
      </w:r>
      <w:r>
        <w:rPr>
          <w:rFonts w:hint="eastAsia"/>
          <w:color w:val="auto"/>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1.1</w:t>
      </w:r>
      <w:r>
        <w:rPr>
          <w:rFonts w:hint="eastAsia"/>
          <w:color w:val="auto"/>
        </w:rPr>
        <w:t>凡来自中华人民共和国或与中华人民共和国有正常贸易往来的国家</w:t>
      </w:r>
      <w:r>
        <w:rPr>
          <w:rFonts w:hint="eastAsia"/>
          <w:color w:val="auto"/>
          <w:lang w:val="en-US" w:eastAsia="zh-CN"/>
        </w:rPr>
        <w:t>或地</w:t>
      </w:r>
      <w:r>
        <w:rPr>
          <w:rFonts w:hint="eastAsia"/>
          <w:color w:val="auto"/>
        </w:rPr>
        <w:t>区的获得一般纳税人的法人均为合格</w:t>
      </w:r>
      <w:r>
        <w:rPr>
          <w:rFonts w:hint="eastAsia"/>
          <w:color w:val="auto"/>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 xml:space="preserve"> </w:t>
      </w:r>
      <w:r>
        <w:rPr>
          <w:rFonts w:hint="eastAsia"/>
          <w:color w:val="auto"/>
          <w:lang w:eastAsia="zh-CN"/>
        </w:rPr>
        <w:t>供应商</w:t>
      </w:r>
      <w:r>
        <w:rPr>
          <w:rFonts w:hint="eastAsia"/>
          <w:color w:val="auto"/>
        </w:rPr>
        <w:t>之间如果存在下列情形之一的</w:t>
      </w:r>
      <w:r>
        <w:rPr>
          <w:rFonts w:hint="eastAsia"/>
          <w:color w:val="auto"/>
          <w:lang w:eastAsia="zh-CN"/>
        </w:rPr>
        <w:t>，</w:t>
      </w:r>
      <w:r>
        <w:rPr>
          <w:rFonts w:hint="eastAsia"/>
          <w:color w:val="auto"/>
        </w:rPr>
        <w:t>不得同时参加本</w:t>
      </w:r>
      <w:r>
        <w:rPr>
          <w:rFonts w:hint="eastAsia"/>
          <w:color w:val="auto"/>
          <w:lang w:val="en-US" w:eastAsia="zh-CN"/>
        </w:rPr>
        <w:t>次询比活动</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w:t>
      </w:r>
      <w:r>
        <w:rPr>
          <w:rFonts w:hint="eastAsia"/>
          <w:color w:val="auto"/>
          <w:lang w:eastAsia="zh-CN"/>
        </w:rPr>
        <w:t>采购人</w:t>
      </w:r>
      <w:r>
        <w:rPr>
          <w:rFonts w:hint="eastAsia"/>
          <w:color w:val="auto"/>
        </w:rPr>
        <w:t>存在利害关系且可能影响</w:t>
      </w:r>
      <w:r>
        <w:rPr>
          <w:rFonts w:hint="eastAsia"/>
          <w:color w:val="auto"/>
          <w:lang w:eastAsia="zh-CN"/>
        </w:rPr>
        <w:t>询比</w:t>
      </w:r>
      <w:r>
        <w:rPr>
          <w:rFonts w:hint="eastAsia"/>
          <w:color w:val="auto"/>
        </w:rPr>
        <w:t>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w:t>
      </w:r>
      <w:r>
        <w:rPr>
          <w:rFonts w:hint="eastAsia"/>
          <w:color w:val="auto"/>
          <w:lang w:eastAsia="zh-CN"/>
        </w:rPr>
        <w:t>询比</w:t>
      </w:r>
      <w:r>
        <w:rPr>
          <w:rFonts w:hint="eastAsia"/>
          <w:color w:val="auto"/>
        </w:rPr>
        <w:t>项目的</w:t>
      </w:r>
      <w:r>
        <w:rPr>
          <w:rFonts w:hint="eastAsia"/>
          <w:color w:val="auto"/>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w:t>
      </w:r>
      <w:r>
        <w:rPr>
          <w:rFonts w:hint="eastAsia"/>
          <w:color w:val="auto"/>
          <w:lang w:eastAsia="zh-CN"/>
        </w:rPr>
        <w:t>供应商</w:t>
      </w:r>
      <w:r>
        <w:rPr>
          <w:rFonts w:hint="eastAsia"/>
          <w:color w:val="auto"/>
        </w:rPr>
        <w:t>须知前附表及</w:t>
      </w:r>
      <w:r>
        <w:rPr>
          <w:rFonts w:hint="eastAsia"/>
          <w:color w:val="auto"/>
          <w:lang w:eastAsia="zh-CN"/>
        </w:rPr>
        <w:t>询比公告</w:t>
      </w:r>
      <w:r>
        <w:rPr>
          <w:rFonts w:hint="eastAsia"/>
          <w:color w:val="auto"/>
          <w:lang w:val="en-US" w:eastAsia="zh-CN"/>
        </w:rPr>
        <w:t>/邀请书</w:t>
      </w:r>
      <w:r>
        <w:rPr>
          <w:rFonts w:hint="eastAsia"/>
          <w:color w:val="auto"/>
        </w:rPr>
        <w:t>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w:t>
      </w:r>
      <w:r>
        <w:rPr>
          <w:rFonts w:hint="eastAsia"/>
          <w:color w:val="auto"/>
        </w:rPr>
        <w:t>费用</w:t>
      </w:r>
      <w:r>
        <w:rPr>
          <w:rFonts w:hint="eastAsia"/>
          <w:color w:val="auto"/>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应承担所有与准备和参加</w:t>
      </w:r>
      <w:r>
        <w:rPr>
          <w:rFonts w:hint="eastAsia"/>
          <w:color w:val="auto"/>
          <w:lang w:val="en-US" w:eastAsia="zh-CN"/>
        </w:rPr>
        <w:t>本次询比采购活动</w:t>
      </w:r>
      <w:r>
        <w:rPr>
          <w:rFonts w:hint="eastAsia"/>
          <w:color w:val="auto"/>
        </w:rPr>
        <w:t>有关的费用</w:t>
      </w:r>
      <w:r>
        <w:rPr>
          <w:rFonts w:hint="eastAsia"/>
          <w:color w:val="auto"/>
          <w:lang w:eastAsia="zh-CN"/>
        </w:rPr>
        <w:t>。</w:t>
      </w:r>
      <w:r>
        <w:rPr>
          <w:rFonts w:hint="eastAsia"/>
          <w:color w:val="auto"/>
        </w:rPr>
        <w:t>无论结果如何</w:t>
      </w:r>
      <w:r>
        <w:rPr>
          <w:rFonts w:hint="eastAsia"/>
          <w:color w:val="auto"/>
          <w:lang w:eastAsia="zh-CN"/>
        </w:rPr>
        <w:t>，</w:t>
      </w:r>
      <w:r>
        <w:rPr>
          <w:rFonts w:hint="eastAsia"/>
          <w:color w:val="auto"/>
        </w:rPr>
        <w:t>或项目因故取消</w:t>
      </w:r>
      <w:r>
        <w:rPr>
          <w:rFonts w:hint="eastAsia"/>
          <w:color w:val="auto"/>
          <w:lang w:eastAsia="zh-CN"/>
        </w:rPr>
        <w:t>，采购人</w:t>
      </w:r>
      <w:r>
        <w:rPr>
          <w:rFonts w:hint="eastAsia"/>
          <w:color w:val="auto"/>
        </w:rPr>
        <w:t>和</w:t>
      </w:r>
      <w:r>
        <w:rPr>
          <w:rFonts w:hint="eastAsia"/>
          <w:color w:val="auto"/>
          <w:lang w:val="en-US" w:eastAsia="zh-CN"/>
        </w:rPr>
        <w:t>采购平台</w:t>
      </w:r>
      <w:r>
        <w:rPr>
          <w:rFonts w:hint="eastAsia"/>
          <w:color w:val="auto"/>
        </w:rPr>
        <w:t>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144974504"/>
      <w:bookmarkStart w:id="25" w:name="_Toc246996181"/>
      <w:bookmarkStart w:id="26" w:name="_Toc152045536"/>
      <w:bookmarkStart w:id="27" w:name="_Toc179632553"/>
      <w:bookmarkStart w:id="28" w:name="_Toc296602426"/>
      <w:bookmarkStart w:id="29" w:name="_Toc152042312"/>
      <w:bookmarkStart w:id="30" w:name="_Toc247085695"/>
      <w:bookmarkStart w:id="31" w:name="_Toc246996924"/>
      <w:r>
        <w:rPr>
          <w:rFonts w:hint="eastAsia"/>
          <w:color w:val="auto"/>
          <w:lang w:val="en-US" w:eastAsia="zh-CN"/>
        </w:rPr>
        <w:t>3</w:t>
      </w:r>
      <w:r>
        <w:rPr>
          <w:rFonts w:hint="eastAsia"/>
          <w:color w:val="auto"/>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w:t>
      </w:r>
      <w:r>
        <w:rPr>
          <w:rFonts w:hint="eastAsia"/>
          <w:color w:val="auto"/>
          <w:lang w:eastAsia="zh-CN"/>
        </w:rPr>
        <w:t>询比</w:t>
      </w:r>
      <w:r>
        <w:rPr>
          <w:rFonts w:hint="eastAsia"/>
          <w:color w:val="auto"/>
        </w:rPr>
        <w:t>活动的各方应对</w:t>
      </w:r>
      <w:r>
        <w:rPr>
          <w:rFonts w:hint="eastAsia"/>
          <w:color w:val="auto"/>
          <w:lang w:eastAsia="zh-CN"/>
        </w:rPr>
        <w:t>询比</w:t>
      </w:r>
      <w:r>
        <w:rPr>
          <w:rFonts w:hint="eastAsia"/>
          <w:color w:val="auto"/>
        </w:rPr>
        <w:t>文件和</w:t>
      </w:r>
      <w:r>
        <w:rPr>
          <w:rFonts w:hint="eastAsia"/>
          <w:color w:val="auto"/>
          <w:lang w:eastAsia="zh-CN"/>
        </w:rPr>
        <w:t>响应文件</w:t>
      </w:r>
      <w:r>
        <w:rPr>
          <w:rFonts w:hint="eastAsia"/>
          <w:color w:val="auto"/>
        </w:rPr>
        <w:t>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32" w:name="_Toc144974505"/>
      <w:bookmarkStart w:id="33" w:name="_Toc296602427"/>
      <w:bookmarkStart w:id="34" w:name="_Toc246996182"/>
      <w:bookmarkStart w:id="35" w:name="_Toc152045537"/>
      <w:bookmarkStart w:id="36" w:name="_Toc246996925"/>
      <w:bookmarkStart w:id="37" w:name="_Toc152042313"/>
      <w:bookmarkStart w:id="38" w:name="_Toc247085696"/>
      <w:bookmarkStart w:id="39" w:name="_Toc179632554"/>
      <w:r>
        <w:rPr>
          <w:rFonts w:hint="eastAsia"/>
          <w:color w:val="auto"/>
          <w:lang w:val="en-US" w:eastAsia="zh-CN"/>
        </w:rPr>
        <w:t>4</w:t>
      </w:r>
      <w:r>
        <w:rPr>
          <w:rFonts w:hint="eastAsia"/>
          <w:color w:val="auto"/>
        </w:rPr>
        <w:t>.语言</w:t>
      </w:r>
      <w:bookmarkEnd w:id="32"/>
      <w:r>
        <w:rPr>
          <w:rFonts w:hint="eastAsia"/>
          <w:color w:val="auto"/>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40" w:name="_Toc179632555"/>
      <w:bookmarkStart w:id="41" w:name="_Toc246996183"/>
      <w:bookmarkStart w:id="42" w:name="_Toc144974506"/>
      <w:bookmarkStart w:id="43" w:name="_Toc246996926"/>
      <w:bookmarkStart w:id="44" w:name="_Toc152042314"/>
      <w:bookmarkStart w:id="45" w:name="_Toc247085697"/>
      <w:bookmarkStart w:id="46" w:name="_Toc152045538"/>
      <w:r>
        <w:rPr>
          <w:rFonts w:hint="eastAsia"/>
          <w:color w:val="auto"/>
          <w:lang w:eastAsia="zh-CN"/>
        </w:rPr>
        <w:t>询比响应文件</w:t>
      </w:r>
      <w:r>
        <w:rPr>
          <w:rFonts w:hint="eastAsia"/>
          <w:color w:val="auto"/>
        </w:rPr>
        <w:t>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47" w:name="_Toc296602432"/>
      <w:bookmarkStart w:id="48" w:name="_Toc152045542"/>
      <w:bookmarkStart w:id="49" w:name="_Toc246996930"/>
      <w:bookmarkStart w:id="50" w:name="_Toc144974510"/>
      <w:bookmarkStart w:id="51" w:name="_Toc179632560"/>
      <w:bookmarkStart w:id="52" w:name="_Toc152042318"/>
      <w:bookmarkStart w:id="53" w:name="_Toc246996187"/>
      <w:bookmarkStart w:id="54" w:name="_Toc247085701"/>
      <w:r>
        <w:rPr>
          <w:rFonts w:hint="eastAsia"/>
          <w:color w:val="auto"/>
          <w:lang w:val="en-US" w:eastAsia="zh-CN"/>
        </w:rPr>
        <w:t>二</w:t>
      </w:r>
      <w:r>
        <w:rPr>
          <w:rFonts w:hint="eastAsia"/>
          <w:color w:val="auto"/>
          <w:lang w:eastAsia="zh-CN"/>
        </w:rPr>
        <w:t>、询比</w:t>
      </w:r>
      <w:r>
        <w:rPr>
          <w:rFonts w:hint="eastAsia"/>
          <w:color w:val="auto"/>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55" w:name="_Toc246996188"/>
      <w:bookmarkStart w:id="56" w:name="_Toc144974511"/>
      <w:bookmarkStart w:id="57" w:name="_Toc152042319"/>
      <w:bookmarkStart w:id="58" w:name="_Toc152045543"/>
      <w:bookmarkStart w:id="59" w:name="_Toc179632561"/>
      <w:bookmarkStart w:id="60" w:name="_Toc246996931"/>
      <w:bookmarkStart w:id="61" w:name="_Toc296602433"/>
      <w:bookmarkStart w:id="62" w:name="_Toc247085702"/>
      <w:r>
        <w:rPr>
          <w:rFonts w:hint="eastAsia"/>
          <w:color w:val="auto"/>
          <w:lang w:val="en-US" w:eastAsia="zh-CN"/>
        </w:rPr>
        <w:t>5.</w:t>
      </w:r>
      <w:r>
        <w:rPr>
          <w:rFonts w:hint="eastAsia"/>
          <w:color w:val="auto"/>
          <w:lang w:eastAsia="zh-CN"/>
        </w:rPr>
        <w:t>询比</w:t>
      </w:r>
      <w:r>
        <w:rPr>
          <w:rFonts w:hint="eastAsia"/>
          <w:color w:val="auto"/>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应检查</w:t>
      </w:r>
      <w:r>
        <w:rPr>
          <w:rFonts w:hint="eastAsia"/>
          <w:color w:val="auto"/>
          <w:lang w:eastAsia="zh-CN"/>
        </w:rPr>
        <w:t>询比</w:t>
      </w:r>
      <w:r>
        <w:rPr>
          <w:rFonts w:hint="eastAsia"/>
          <w:color w:val="auto"/>
        </w:rPr>
        <w:t>文件中所有的须知、格式、条款、技术规格和其他资料</w:t>
      </w:r>
      <w:r>
        <w:rPr>
          <w:rFonts w:hint="eastAsia"/>
          <w:color w:val="auto"/>
          <w:lang w:eastAsia="zh-CN"/>
        </w:rPr>
        <w:t>。</w:t>
      </w:r>
      <w:r>
        <w:rPr>
          <w:rFonts w:hint="eastAsia"/>
          <w:color w:val="auto"/>
        </w:rPr>
        <w:t>如果</w:t>
      </w:r>
      <w:r>
        <w:rPr>
          <w:rFonts w:hint="eastAsia"/>
          <w:color w:val="auto"/>
          <w:lang w:eastAsia="zh-CN"/>
        </w:rPr>
        <w:t>供应商</w:t>
      </w:r>
      <w:r>
        <w:rPr>
          <w:rFonts w:hint="eastAsia"/>
          <w:color w:val="auto"/>
        </w:rPr>
        <w:t>没有按照</w:t>
      </w:r>
      <w:r>
        <w:rPr>
          <w:rFonts w:hint="eastAsia"/>
          <w:color w:val="auto"/>
          <w:lang w:eastAsia="zh-CN"/>
        </w:rPr>
        <w:t>询比</w:t>
      </w:r>
      <w:r>
        <w:rPr>
          <w:rFonts w:hint="eastAsia"/>
          <w:color w:val="auto"/>
        </w:rPr>
        <w:t>文件的要求提交全部资料，或者提交的资料没有对</w:t>
      </w:r>
      <w:r>
        <w:rPr>
          <w:rFonts w:hint="eastAsia"/>
          <w:color w:val="auto"/>
          <w:lang w:eastAsia="zh-CN"/>
        </w:rPr>
        <w:t>询比</w:t>
      </w:r>
      <w:r>
        <w:rPr>
          <w:rFonts w:hint="eastAsia"/>
          <w:color w:val="auto"/>
        </w:rPr>
        <w:t>文件在各方面作出实质性响应</w:t>
      </w:r>
      <w:r>
        <w:rPr>
          <w:rFonts w:hint="eastAsia"/>
          <w:color w:val="auto"/>
          <w:lang w:eastAsia="zh-CN"/>
        </w:rPr>
        <w:t>，</w:t>
      </w:r>
      <w:r>
        <w:rPr>
          <w:rFonts w:hint="eastAsia"/>
          <w:color w:val="auto"/>
        </w:rPr>
        <w:t>可能导致其</w:t>
      </w:r>
      <w:r>
        <w:rPr>
          <w:rFonts w:hint="eastAsia"/>
          <w:color w:val="auto"/>
          <w:lang w:val="en-US" w:eastAsia="zh-CN"/>
        </w:rPr>
        <w:t>响应</w:t>
      </w:r>
      <w:r>
        <w:rPr>
          <w:rFonts w:hint="eastAsia"/>
          <w:color w:val="auto"/>
        </w:rPr>
        <w:t>被拒绝</w:t>
      </w:r>
      <w:r>
        <w:rPr>
          <w:rFonts w:hint="eastAsia"/>
          <w:color w:val="auto"/>
          <w:lang w:eastAsia="zh-CN"/>
        </w:rPr>
        <w:t>，</w:t>
      </w:r>
      <w:r>
        <w:rPr>
          <w:rFonts w:hint="eastAsia"/>
          <w:color w:val="auto"/>
        </w:rPr>
        <w:t>该风险由</w:t>
      </w:r>
      <w:r>
        <w:rPr>
          <w:rFonts w:hint="eastAsia"/>
          <w:color w:val="auto"/>
          <w:lang w:eastAsia="zh-CN"/>
        </w:rPr>
        <w:t>供应商</w:t>
      </w:r>
      <w:r>
        <w:rPr>
          <w:rFonts w:hint="eastAsia"/>
          <w:color w:val="auto"/>
        </w:rPr>
        <w:t>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63" w:name="_Toc247085703"/>
      <w:bookmarkStart w:id="64" w:name="_Toc246996932"/>
      <w:bookmarkStart w:id="65" w:name="_Toc144974512"/>
      <w:bookmarkStart w:id="66" w:name="_Toc152045544"/>
      <w:bookmarkStart w:id="67" w:name="_Toc152042320"/>
      <w:bookmarkStart w:id="68" w:name="_Toc296602434"/>
      <w:bookmarkStart w:id="69" w:name="_Toc179632562"/>
      <w:bookmarkStart w:id="70" w:name="_Toc246996189"/>
      <w:r>
        <w:rPr>
          <w:rFonts w:hint="eastAsia"/>
          <w:color w:val="auto"/>
          <w:lang w:val="en-US" w:eastAsia="zh-CN"/>
        </w:rPr>
        <w:t>6.</w:t>
      </w:r>
      <w:r>
        <w:rPr>
          <w:rFonts w:hint="eastAsia"/>
          <w:color w:val="auto"/>
          <w:lang w:eastAsia="zh-CN"/>
        </w:rPr>
        <w:t>询比</w:t>
      </w:r>
      <w:r>
        <w:rPr>
          <w:rFonts w:hint="eastAsia"/>
          <w:color w:val="auto"/>
        </w:rPr>
        <w:t>文件的澄清</w:t>
      </w:r>
      <w:bookmarkEnd w:id="63"/>
      <w:bookmarkEnd w:id="64"/>
      <w:bookmarkEnd w:id="65"/>
      <w:bookmarkEnd w:id="66"/>
      <w:bookmarkEnd w:id="67"/>
      <w:bookmarkEnd w:id="68"/>
      <w:bookmarkEnd w:id="69"/>
      <w:bookmarkEnd w:id="70"/>
      <w:r>
        <w:rPr>
          <w:rFonts w:hint="eastAsia"/>
          <w:color w:val="auto"/>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6.1</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文件进行澄清的</w:t>
      </w:r>
      <w:r>
        <w:rPr>
          <w:rFonts w:hint="eastAsia"/>
          <w:color w:val="auto"/>
          <w:lang w:eastAsia="zh-CN"/>
        </w:rPr>
        <w:t>，</w:t>
      </w:r>
      <w:r>
        <w:rPr>
          <w:rFonts w:hint="eastAsia"/>
          <w:color w:val="auto"/>
        </w:rPr>
        <w:t>应以书面或扫描电邮方式通知</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lang w:eastAsia="zh-CN"/>
        </w:rPr>
        <w:t>。</w:t>
      </w:r>
      <w:r>
        <w:rPr>
          <w:rFonts w:hint="eastAsia"/>
          <w:color w:val="auto"/>
        </w:rPr>
        <w:t>对前附表规定的时间以前收到的对</w:t>
      </w:r>
      <w:r>
        <w:rPr>
          <w:rFonts w:hint="eastAsia"/>
          <w:color w:val="auto"/>
          <w:lang w:eastAsia="zh-CN"/>
        </w:rPr>
        <w:t>询比</w:t>
      </w:r>
      <w:r>
        <w:rPr>
          <w:rFonts w:hint="eastAsia"/>
          <w:color w:val="auto"/>
        </w:rPr>
        <w:t>文件的澄清要求</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予以答复</w:t>
      </w:r>
      <w:r>
        <w:rPr>
          <w:rFonts w:hint="eastAsia"/>
          <w:color w:val="auto"/>
          <w:lang w:eastAsia="zh-CN"/>
        </w:rPr>
        <w:t>。供应商</w:t>
      </w:r>
      <w:r>
        <w:rPr>
          <w:rFonts w:hint="eastAsia"/>
          <w:color w:val="auto"/>
        </w:rPr>
        <w:t>应当在</w:t>
      </w:r>
      <w:r>
        <w:rPr>
          <w:rFonts w:hint="eastAsia"/>
          <w:color w:val="auto"/>
          <w:lang w:eastAsia="zh-CN"/>
        </w:rPr>
        <w:t>响应</w:t>
      </w:r>
      <w:r>
        <w:rPr>
          <w:rFonts w:hint="eastAsia"/>
          <w:color w:val="auto"/>
        </w:rPr>
        <w:t>截止时间之前自行查看</w:t>
      </w:r>
      <w:r>
        <w:rPr>
          <w:rFonts w:hint="eastAsia"/>
          <w:color w:val="auto"/>
          <w:lang w:eastAsia="zh-CN"/>
        </w:rPr>
        <w:t>，</w:t>
      </w:r>
      <w:r>
        <w:rPr>
          <w:rFonts w:hint="eastAsia"/>
          <w:color w:val="auto"/>
        </w:rPr>
        <w:t>如有遗漏</w:t>
      </w:r>
      <w:r>
        <w:rPr>
          <w:rFonts w:hint="eastAsia"/>
          <w:color w:val="auto"/>
          <w:lang w:eastAsia="zh-CN"/>
        </w:rPr>
        <w:t>，供应商</w:t>
      </w:r>
      <w:r>
        <w:rPr>
          <w:rFonts w:hint="eastAsia"/>
          <w:color w:val="auto"/>
        </w:rPr>
        <w:t>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6</w:t>
      </w:r>
      <w:r>
        <w:rPr>
          <w:rFonts w:hint="eastAsia"/>
          <w:color w:val="auto"/>
        </w:rPr>
        <w:t>.2</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文件的澄清必须在</w:t>
      </w:r>
      <w:r>
        <w:rPr>
          <w:rFonts w:hint="eastAsia"/>
          <w:color w:val="auto"/>
          <w:lang w:eastAsia="zh-CN"/>
        </w:rPr>
        <w:t>供应商</w:t>
      </w:r>
      <w:r>
        <w:rPr>
          <w:rFonts w:hint="eastAsia"/>
          <w:color w:val="auto"/>
        </w:rPr>
        <w:t>须知前附表规定的时间内提出</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71" w:name="_Toc246996190"/>
      <w:bookmarkStart w:id="72" w:name="_Toc247085704"/>
      <w:bookmarkStart w:id="73" w:name="_Toc152042321"/>
      <w:bookmarkStart w:id="74" w:name="_Toc152045545"/>
      <w:bookmarkStart w:id="75" w:name="_Toc296602435"/>
      <w:bookmarkStart w:id="76" w:name="_Toc144974513"/>
      <w:bookmarkStart w:id="77" w:name="_Toc246996933"/>
      <w:bookmarkStart w:id="78" w:name="_Toc179632563"/>
      <w:r>
        <w:rPr>
          <w:rFonts w:hint="eastAsia"/>
          <w:color w:val="auto"/>
          <w:lang w:val="en-US" w:eastAsia="zh-CN"/>
        </w:rPr>
        <w:t>7.</w:t>
      </w:r>
      <w:r>
        <w:rPr>
          <w:rFonts w:hint="eastAsia"/>
          <w:color w:val="auto"/>
          <w:lang w:eastAsia="zh-CN"/>
        </w:rPr>
        <w:t>询比</w:t>
      </w:r>
      <w:r>
        <w:rPr>
          <w:rFonts w:hint="eastAsia"/>
          <w:color w:val="auto"/>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.1</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可以因任何原因</w:t>
      </w:r>
      <w:r>
        <w:rPr>
          <w:rFonts w:hint="eastAsia"/>
          <w:color w:val="auto"/>
          <w:lang w:eastAsia="zh-CN"/>
        </w:rPr>
        <w:t>，</w:t>
      </w:r>
      <w:r>
        <w:rPr>
          <w:rFonts w:hint="eastAsia"/>
          <w:color w:val="auto"/>
        </w:rPr>
        <w:t>在</w:t>
      </w:r>
      <w:r>
        <w:rPr>
          <w:rFonts w:hint="eastAsia"/>
          <w:color w:val="auto"/>
          <w:lang w:val="en-US" w:eastAsia="zh-CN"/>
        </w:rPr>
        <w:t>响应文件递交</w:t>
      </w:r>
      <w:r>
        <w:rPr>
          <w:rFonts w:hint="eastAsia"/>
          <w:color w:val="auto"/>
        </w:rPr>
        <w:t>截止期前对</w:t>
      </w:r>
      <w:r>
        <w:rPr>
          <w:rFonts w:hint="eastAsia"/>
          <w:color w:val="auto"/>
          <w:lang w:eastAsia="zh-CN"/>
        </w:rPr>
        <w:t>询比</w:t>
      </w:r>
      <w:r>
        <w:rPr>
          <w:rFonts w:hint="eastAsia"/>
          <w:color w:val="auto"/>
        </w:rPr>
        <w:t>文件进行修改</w:t>
      </w:r>
      <w:r>
        <w:rPr>
          <w:rFonts w:hint="eastAsia"/>
          <w:color w:val="auto"/>
          <w:lang w:eastAsia="zh-CN"/>
        </w:rPr>
        <w:t>，</w:t>
      </w:r>
      <w:r>
        <w:rPr>
          <w:rFonts w:hint="eastAsia"/>
          <w:color w:val="auto"/>
        </w:rPr>
        <w:t>并通知所有获取</w:t>
      </w:r>
      <w:r>
        <w:rPr>
          <w:rFonts w:hint="eastAsia"/>
          <w:color w:val="auto"/>
          <w:lang w:eastAsia="zh-CN"/>
        </w:rPr>
        <w:t>询比</w:t>
      </w:r>
      <w:r>
        <w:rPr>
          <w:rFonts w:hint="eastAsia"/>
          <w:color w:val="auto"/>
        </w:rPr>
        <w:t>文件的</w:t>
      </w:r>
      <w:r>
        <w:rPr>
          <w:rFonts w:hint="eastAsia"/>
          <w:color w:val="auto"/>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.2</w:t>
      </w:r>
      <w:r>
        <w:rPr>
          <w:rFonts w:hint="eastAsia"/>
          <w:color w:val="auto"/>
          <w:lang w:eastAsia="zh-CN"/>
        </w:rPr>
        <w:t>询比</w:t>
      </w:r>
      <w:r>
        <w:rPr>
          <w:rFonts w:hint="eastAsia"/>
          <w:color w:val="auto"/>
        </w:rPr>
        <w:t>文件的修改内容将作为</w:t>
      </w:r>
      <w:r>
        <w:rPr>
          <w:rFonts w:hint="eastAsia"/>
          <w:color w:val="auto"/>
          <w:lang w:eastAsia="zh-CN"/>
        </w:rPr>
        <w:t>询比</w:t>
      </w:r>
      <w:r>
        <w:rPr>
          <w:rFonts w:hint="eastAsia"/>
          <w:color w:val="auto"/>
        </w:rPr>
        <w:t>文件的组成部分</w:t>
      </w:r>
      <w:r>
        <w:rPr>
          <w:rFonts w:hint="eastAsia"/>
          <w:color w:val="auto"/>
          <w:lang w:eastAsia="zh-CN"/>
        </w:rPr>
        <w:t>，</w:t>
      </w:r>
      <w:r>
        <w:rPr>
          <w:rFonts w:hint="eastAsia"/>
          <w:color w:val="auto"/>
        </w:rPr>
        <w:t>对</w:t>
      </w:r>
      <w:r>
        <w:rPr>
          <w:rFonts w:hint="eastAsia"/>
          <w:color w:val="auto"/>
          <w:lang w:eastAsia="zh-CN"/>
        </w:rPr>
        <w:t>供应商</w:t>
      </w:r>
      <w:r>
        <w:rPr>
          <w:rFonts w:hint="eastAsia"/>
          <w:color w:val="auto"/>
        </w:rPr>
        <w:t>具有同样约束力</w:t>
      </w:r>
      <w:r>
        <w:rPr>
          <w:rFonts w:hint="eastAsia"/>
          <w:color w:val="auto"/>
          <w:lang w:eastAsia="zh-CN"/>
        </w:rPr>
        <w:t>。</w:t>
      </w:r>
      <w:r>
        <w:rPr>
          <w:rFonts w:hint="eastAsia"/>
          <w:color w:val="auto"/>
        </w:rPr>
        <w:t>当</w:t>
      </w:r>
      <w:r>
        <w:rPr>
          <w:rFonts w:hint="eastAsia"/>
          <w:color w:val="auto"/>
          <w:lang w:eastAsia="zh-CN"/>
        </w:rPr>
        <w:t>询比</w:t>
      </w:r>
      <w:r>
        <w:rPr>
          <w:rFonts w:hint="eastAsia"/>
          <w:color w:val="auto"/>
        </w:rPr>
        <w:t>文件的答疑、澄清、变更、通知或补充等在同一内容的表述上不一致时以最后发出的书面文件为准</w:t>
      </w:r>
      <w:r>
        <w:rPr>
          <w:rFonts w:hint="eastAsia"/>
          <w:color w:val="auto"/>
          <w:lang w:eastAsia="zh-CN"/>
        </w:rPr>
        <w:t>。供应商</w:t>
      </w:r>
      <w:r>
        <w:rPr>
          <w:rFonts w:hint="eastAsia"/>
          <w:color w:val="auto"/>
        </w:rPr>
        <w:t>应主动查询</w:t>
      </w:r>
      <w:r>
        <w:rPr>
          <w:rFonts w:hint="eastAsia"/>
          <w:color w:val="auto"/>
          <w:lang w:eastAsia="zh-CN"/>
        </w:rPr>
        <w:t>。采购人</w:t>
      </w:r>
      <w:r>
        <w:rPr>
          <w:rFonts w:hint="eastAsia"/>
          <w:color w:val="auto"/>
        </w:rPr>
        <w:t>/</w:t>
      </w:r>
      <w:r>
        <w:rPr>
          <w:rFonts w:hint="eastAsia"/>
          <w:color w:val="auto"/>
          <w:lang w:eastAsia="zh-CN"/>
        </w:rPr>
        <w:t>采购平台</w:t>
      </w:r>
      <w:r>
        <w:rPr>
          <w:rFonts w:hint="eastAsia"/>
          <w:color w:val="auto"/>
        </w:rPr>
        <w:t>不承担</w:t>
      </w:r>
      <w:r>
        <w:rPr>
          <w:rFonts w:hint="eastAsia"/>
          <w:color w:val="auto"/>
          <w:lang w:eastAsia="zh-CN"/>
        </w:rPr>
        <w:t>供应商</w:t>
      </w:r>
      <w:r>
        <w:rPr>
          <w:rFonts w:hint="eastAsia"/>
          <w:color w:val="auto"/>
        </w:rPr>
        <w:t>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.3</w:t>
      </w:r>
      <w:r>
        <w:rPr>
          <w:rFonts w:hint="eastAsia"/>
          <w:color w:val="auto"/>
          <w:lang w:eastAsia="zh-CN"/>
        </w:rPr>
        <w:t>询比</w:t>
      </w:r>
      <w:r>
        <w:rPr>
          <w:rFonts w:hint="eastAsia"/>
          <w:color w:val="auto"/>
        </w:rPr>
        <w:t>文件的修改应考虑给予</w:t>
      </w:r>
      <w:r>
        <w:rPr>
          <w:rFonts w:hint="eastAsia"/>
          <w:color w:val="auto"/>
          <w:lang w:eastAsia="zh-CN"/>
        </w:rPr>
        <w:t>供应商</w:t>
      </w:r>
      <w:r>
        <w:rPr>
          <w:rFonts w:hint="eastAsia"/>
          <w:color w:val="auto"/>
        </w:rPr>
        <w:t>合理的时间制作相应的</w:t>
      </w:r>
      <w:r>
        <w:rPr>
          <w:rFonts w:hint="eastAsia"/>
          <w:color w:val="auto"/>
          <w:lang w:eastAsia="zh-CN"/>
        </w:rPr>
        <w:t>响应文件。采购人</w:t>
      </w:r>
      <w:r>
        <w:rPr>
          <w:rFonts w:hint="eastAsia"/>
          <w:color w:val="auto"/>
        </w:rPr>
        <w:t>/</w:t>
      </w:r>
      <w:r>
        <w:rPr>
          <w:rFonts w:hint="eastAsia"/>
          <w:color w:val="auto"/>
          <w:lang w:val="en-US" w:eastAsia="zh-CN"/>
        </w:rPr>
        <w:t>采购平台</w:t>
      </w:r>
      <w:r>
        <w:rPr>
          <w:rFonts w:hint="eastAsia"/>
          <w:color w:val="auto"/>
        </w:rPr>
        <w:t>可酌情延长</w:t>
      </w:r>
      <w:r>
        <w:rPr>
          <w:rFonts w:hint="eastAsia"/>
          <w:color w:val="auto"/>
          <w:lang w:val="en-US" w:eastAsia="zh-CN"/>
        </w:rPr>
        <w:t>响应文件递交</w:t>
      </w:r>
      <w:r>
        <w:rPr>
          <w:rFonts w:hint="eastAsia"/>
          <w:color w:val="auto"/>
        </w:rPr>
        <w:t>截止日期</w:t>
      </w:r>
      <w:r>
        <w:rPr>
          <w:rFonts w:hint="eastAsia"/>
          <w:color w:val="auto"/>
          <w:lang w:eastAsia="zh-CN"/>
        </w:rPr>
        <w:t>，</w:t>
      </w:r>
      <w:r>
        <w:rPr>
          <w:rFonts w:hint="eastAsia"/>
          <w:color w:val="auto"/>
        </w:rPr>
        <w:t>并通知</w:t>
      </w:r>
      <w:r>
        <w:rPr>
          <w:rFonts w:hint="eastAsia"/>
          <w:color w:val="auto"/>
          <w:lang w:eastAsia="zh-CN"/>
        </w:rPr>
        <w:t>询比</w:t>
      </w:r>
      <w:r>
        <w:rPr>
          <w:rFonts w:hint="eastAsia"/>
          <w:color w:val="auto"/>
        </w:rPr>
        <w:t>文件</w:t>
      </w:r>
      <w:r>
        <w:rPr>
          <w:rFonts w:hint="eastAsia"/>
          <w:color w:val="auto"/>
          <w:lang w:val="en-US" w:eastAsia="zh-CN"/>
        </w:rPr>
        <w:t>获取</w:t>
      </w:r>
      <w:r>
        <w:rPr>
          <w:rFonts w:hint="eastAsia"/>
          <w:color w:val="auto"/>
        </w:rPr>
        <w:t>人</w:t>
      </w:r>
      <w:bookmarkStart w:id="79" w:name="_Toc152045546"/>
      <w:bookmarkStart w:id="80" w:name="_Toc152042322"/>
      <w:bookmarkStart w:id="81" w:name="_Toc144974514"/>
      <w:bookmarkStart w:id="82" w:name="_Toc179632564"/>
      <w:bookmarkStart w:id="83" w:name="_Toc246996191"/>
      <w:bookmarkStart w:id="84" w:name="_Toc247085705"/>
      <w:bookmarkStart w:id="85" w:name="_Toc296602436"/>
      <w:bookmarkStart w:id="86" w:name="_Toc246996934"/>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三、</w:t>
      </w:r>
      <w:bookmarkEnd w:id="79"/>
      <w:bookmarkEnd w:id="80"/>
      <w:bookmarkEnd w:id="81"/>
      <w:bookmarkEnd w:id="82"/>
      <w:bookmarkEnd w:id="83"/>
      <w:bookmarkEnd w:id="84"/>
      <w:bookmarkEnd w:id="85"/>
      <w:bookmarkEnd w:id="86"/>
      <w:r>
        <w:rPr>
          <w:rFonts w:hint="eastAsia"/>
          <w:color w:val="auto"/>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bookmarkStart w:id="87" w:name="_Toc246996192"/>
      <w:bookmarkStart w:id="88" w:name="_Toc152045547"/>
      <w:bookmarkStart w:id="89" w:name="_Toc152042323"/>
      <w:bookmarkStart w:id="90" w:name="_Toc296602437"/>
      <w:bookmarkStart w:id="91" w:name="_Toc246996935"/>
      <w:bookmarkStart w:id="92" w:name="_Toc144974515"/>
      <w:bookmarkStart w:id="93" w:name="_Toc179632565"/>
      <w:bookmarkStart w:id="94" w:name="_Toc247085706"/>
      <w:r>
        <w:rPr>
          <w:rFonts w:hint="eastAsia"/>
          <w:color w:val="auto"/>
          <w:lang w:val="en-US" w:eastAsia="zh-CN"/>
        </w:rPr>
        <w:t>8.</w:t>
      </w:r>
      <w:r>
        <w:rPr>
          <w:rFonts w:hint="eastAsia"/>
          <w:color w:val="auto"/>
          <w:lang w:eastAsia="zh-CN"/>
        </w:rPr>
        <w:t>响应文件</w:t>
      </w:r>
      <w:r>
        <w:rPr>
          <w:rFonts w:hint="eastAsia"/>
          <w:color w:val="auto"/>
        </w:rPr>
        <w:t>的</w:t>
      </w:r>
      <w:r>
        <w:rPr>
          <w:rFonts w:hint="eastAsia"/>
          <w:color w:val="auto"/>
          <w:lang w:val="en-US" w:eastAsia="zh-CN"/>
        </w:rPr>
        <w:t>构</w:t>
      </w:r>
      <w:r>
        <w:rPr>
          <w:rFonts w:hint="eastAsia"/>
          <w:color w:val="auto"/>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w:t>
      </w:r>
      <w:r>
        <w:rPr>
          <w:rFonts w:hint="eastAsia"/>
          <w:color w:val="auto"/>
          <w:lang w:val="en-US" w:eastAsia="zh-CN"/>
        </w:rPr>
        <w:t>1</w:t>
      </w:r>
      <w:r>
        <w:rPr>
          <w:rFonts w:hint="eastAsia"/>
          <w:color w:val="auto"/>
          <w:lang w:eastAsia="zh-CN"/>
        </w:rPr>
        <w:t>响应文件</w:t>
      </w:r>
      <w:r>
        <w:rPr>
          <w:rFonts w:hint="eastAsia"/>
          <w:color w:val="auto"/>
        </w:rPr>
        <w:t>的构成</w:t>
      </w:r>
      <w:r>
        <w:rPr>
          <w:rFonts w:hint="eastAsia"/>
          <w:color w:val="auto"/>
          <w:lang w:eastAsia="zh-CN"/>
        </w:rPr>
        <w:t>：</w:t>
      </w:r>
      <w:r>
        <w:rPr>
          <w:rFonts w:hint="eastAsia"/>
          <w:color w:val="auto"/>
          <w:lang w:val="en-US" w:eastAsia="zh-CN"/>
        </w:rPr>
        <w:t>供应商</w:t>
      </w:r>
      <w:r>
        <w:rPr>
          <w:rFonts w:hint="eastAsia"/>
          <w:color w:val="auto"/>
        </w:rPr>
        <w:t>应按照</w:t>
      </w:r>
      <w:r>
        <w:rPr>
          <w:rFonts w:hint="eastAsia"/>
          <w:color w:val="auto"/>
          <w:lang w:eastAsia="zh-CN"/>
        </w:rPr>
        <w:t>响应文件</w:t>
      </w:r>
      <w:r>
        <w:rPr>
          <w:rFonts w:hint="eastAsia"/>
          <w:color w:val="auto"/>
        </w:rPr>
        <w:t>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：响应文件</w:t>
      </w:r>
      <w:r>
        <w:rPr>
          <w:rFonts w:hint="eastAsia"/>
          <w:color w:val="auto"/>
        </w:rPr>
        <w:t>如未按照本条要求提供相应材料可能导致其</w:t>
      </w:r>
      <w:r>
        <w:rPr>
          <w:rFonts w:hint="eastAsia"/>
          <w:color w:val="auto"/>
          <w:lang w:val="en-US" w:eastAsia="zh-CN"/>
        </w:rPr>
        <w:t>响应</w:t>
      </w:r>
      <w:r>
        <w:rPr>
          <w:rFonts w:hint="eastAsia"/>
          <w:color w:val="auto"/>
        </w:rPr>
        <w:t>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2如</w:t>
      </w:r>
      <w:r>
        <w:rPr>
          <w:rFonts w:hint="eastAsia"/>
          <w:color w:val="auto"/>
          <w:lang w:eastAsia="zh-CN"/>
        </w:rPr>
        <w:t>供应商</w:t>
      </w:r>
      <w:r>
        <w:rPr>
          <w:rFonts w:hint="eastAsia"/>
          <w:color w:val="auto"/>
        </w:rPr>
        <w:t>无详细说明对</w:t>
      </w:r>
      <w:r>
        <w:rPr>
          <w:rFonts w:hint="eastAsia"/>
          <w:color w:val="auto"/>
          <w:lang w:eastAsia="zh-CN"/>
        </w:rPr>
        <w:t>询比</w:t>
      </w:r>
      <w:r>
        <w:rPr>
          <w:rFonts w:hint="eastAsia"/>
          <w:color w:val="auto"/>
        </w:rPr>
        <w:t>文件的商务和技术不响应或者没有填写商务技术偏离表</w:t>
      </w:r>
      <w:r>
        <w:rPr>
          <w:rFonts w:hint="eastAsia"/>
          <w:color w:val="auto"/>
          <w:lang w:eastAsia="zh-CN"/>
        </w:rPr>
        <w:t>，</w:t>
      </w:r>
      <w:r>
        <w:rPr>
          <w:rFonts w:hint="eastAsia"/>
          <w:color w:val="auto"/>
        </w:rPr>
        <w:t>则视为</w:t>
      </w:r>
      <w:r>
        <w:rPr>
          <w:rFonts w:hint="eastAsia"/>
          <w:color w:val="auto"/>
          <w:lang w:eastAsia="zh-CN"/>
        </w:rPr>
        <w:t>供应商</w:t>
      </w:r>
      <w:r>
        <w:rPr>
          <w:rFonts w:hint="eastAsia"/>
          <w:color w:val="auto"/>
        </w:rPr>
        <w:t>默认响应</w:t>
      </w:r>
      <w:r>
        <w:rPr>
          <w:rFonts w:hint="eastAsia"/>
          <w:color w:val="auto"/>
          <w:lang w:eastAsia="zh-CN"/>
        </w:rPr>
        <w:t>询比</w:t>
      </w:r>
      <w:r>
        <w:rPr>
          <w:rFonts w:hint="eastAsia"/>
          <w:color w:val="auto"/>
        </w:rPr>
        <w:t>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w:t>
      </w:r>
      <w:r>
        <w:rPr>
          <w:rFonts w:hint="eastAsia"/>
          <w:color w:val="auto"/>
          <w:lang w:eastAsia="zh-CN"/>
        </w:rPr>
        <w:t>响应</w:t>
      </w:r>
      <w:r>
        <w:rPr>
          <w:rFonts w:hint="eastAsia"/>
          <w:color w:val="auto"/>
        </w:rPr>
        <w:t>无效并不予退还</w:t>
      </w:r>
      <w:r>
        <w:rPr>
          <w:rFonts w:hint="eastAsia"/>
          <w:color w:val="auto"/>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.4不接受电话、传真等形式的</w:t>
      </w:r>
      <w:r>
        <w:rPr>
          <w:rFonts w:hint="eastAsia"/>
          <w:color w:val="auto"/>
          <w:lang w:eastAsia="zh-CN"/>
        </w:rPr>
        <w:t>响应，响应文件</w:t>
      </w:r>
      <w:r>
        <w:rPr>
          <w:rFonts w:hint="eastAsia"/>
          <w:color w:val="auto"/>
        </w:rPr>
        <w:t>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bookmarkStart w:id="95" w:name="_Toc152042324"/>
      <w:bookmarkStart w:id="96" w:name="_Toc296602438"/>
      <w:bookmarkStart w:id="97" w:name="_Toc246996193"/>
      <w:bookmarkStart w:id="98" w:name="_Toc246996936"/>
      <w:bookmarkStart w:id="99" w:name="_Toc144974516"/>
      <w:bookmarkStart w:id="100" w:name="_Toc179632566"/>
      <w:bookmarkStart w:id="101" w:name="_Toc152045548"/>
      <w:bookmarkStart w:id="102" w:name="_Toc247085707"/>
      <w:r>
        <w:rPr>
          <w:rFonts w:hint="eastAsia"/>
          <w:color w:val="auto"/>
          <w:lang w:val="en-US" w:eastAsia="zh-CN"/>
        </w:rPr>
        <w:t>9.</w:t>
      </w:r>
      <w:bookmarkEnd w:id="95"/>
      <w:bookmarkEnd w:id="96"/>
      <w:bookmarkEnd w:id="97"/>
      <w:bookmarkEnd w:id="98"/>
      <w:bookmarkEnd w:id="99"/>
      <w:bookmarkEnd w:id="100"/>
      <w:bookmarkEnd w:id="101"/>
      <w:bookmarkEnd w:id="102"/>
      <w:r>
        <w:rPr>
          <w:rFonts w:hint="eastAsia"/>
          <w:color w:val="auto"/>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03" w:name="_Toc152042325"/>
      <w:bookmarkStart w:id="104" w:name="_Toc144974517"/>
      <w:bookmarkStart w:id="105" w:name="_Toc152045549"/>
      <w:bookmarkStart w:id="106" w:name="_Toc179632567"/>
      <w:r>
        <w:rPr>
          <w:rFonts w:hint="eastAsia"/>
          <w:color w:val="auto"/>
          <w:lang w:val="en-US" w:eastAsia="zh-CN"/>
        </w:rPr>
        <w:t>9</w:t>
      </w:r>
      <w:r>
        <w:rPr>
          <w:rFonts w:hint="eastAsia"/>
          <w:color w:val="auto"/>
        </w:rPr>
        <w:t>.1</w:t>
      </w:r>
      <w:r>
        <w:rPr>
          <w:rFonts w:hint="eastAsia"/>
          <w:color w:val="auto"/>
          <w:lang w:val="en-US" w:eastAsia="zh-CN"/>
        </w:rPr>
        <w:t>响应</w:t>
      </w:r>
      <w:r>
        <w:rPr>
          <w:rFonts w:hint="eastAsia"/>
          <w:color w:val="auto"/>
        </w:rPr>
        <w:t>报价为签订合同总价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。供应商</w:t>
      </w:r>
      <w:r>
        <w:rPr>
          <w:rFonts w:hint="eastAsia"/>
          <w:color w:val="auto"/>
        </w:rPr>
        <w:t>不接受此种修正</w:t>
      </w:r>
      <w:r>
        <w:rPr>
          <w:rFonts w:hint="eastAsia"/>
          <w:color w:val="auto"/>
          <w:lang w:eastAsia="zh-CN"/>
        </w:rPr>
        <w:t>，评审委员会</w:t>
      </w:r>
      <w:r>
        <w:rPr>
          <w:rFonts w:hint="eastAsia"/>
          <w:color w:val="auto"/>
        </w:rPr>
        <w:t>有权否决其</w:t>
      </w:r>
      <w:r>
        <w:rPr>
          <w:rFonts w:hint="eastAsia"/>
          <w:color w:val="auto"/>
          <w:lang w:eastAsia="zh-CN"/>
        </w:rPr>
        <w:t>响应（</w:t>
      </w:r>
      <w:r>
        <w:rPr>
          <w:rFonts w:hint="eastAsia"/>
          <w:color w:val="auto"/>
        </w:rPr>
        <w:t>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.2</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文件规定的商务、合同和技术责任进行报价</w:t>
      </w:r>
      <w:r>
        <w:rPr>
          <w:rFonts w:hint="eastAsia"/>
          <w:color w:val="auto"/>
          <w:lang w:eastAsia="zh-CN"/>
        </w:rPr>
        <w:t>。</w:t>
      </w:r>
      <w:r>
        <w:rPr>
          <w:rFonts w:hint="eastAsia"/>
          <w:color w:val="auto"/>
        </w:rPr>
        <w:t>如</w:t>
      </w:r>
      <w:r>
        <w:rPr>
          <w:rFonts w:hint="eastAsia"/>
          <w:color w:val="auto"/>
          <w:lang w:eastAsia="zh-CN"/>
        </w:rPr>
        <w:t>响应</w:t>
      </w:r>
      <w:r>
        <w:rPr>
          <w:rFonts w:hint="eastAsia"/>
          <w:color w:val="auto"/>
        </w:rPr>
        <w:t>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w:t>
      </w:r>
      <w:r>
        <w:rPr>
          <w:rFonts w:hint="eastAsia"/>
          <w:color w:val="auto"/>
          <w:lang w:eastAsia="zh-CN"/>
        </w:rPr>
        <w:t>询比</w:t>
      </w:r>
      <w:r>
        <w:rPr>
          <w:rFonts w:hint="eastAsia"/>
          <w:color w:val="auto"/>
        </w:rPr>
        <w:t>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.3</w:t>
      </w:r>
      <w:r>
        <w:rPr>
          <w:rFonts w:hint="eastAsia"/>
          <w:color w:val="auto"/>
          <w:lang w:eastAsia="zh-CN"/>
        </w:rPr>
        <w:t>供应商</w:t>
      </w:r>
      <w:r>
        <w:rPr>
          <w:rFonts w:hint="eastAsia"/>
          <w:color w:val="auto"/>
        </w:rPr>
        <w:t>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w:t>
      </w:r>
      <w:r>
        <w:rPr>
          <w:rFonts w:hint="eastAsia"/>
          <w:color w:val="auto"/>
          <w:lang w:val="en-US" w:eastAsia="zh-CN"/>
        </w:rPr>
        <w:t>4</w:t>
      </w:r>
      <w:r>
        <w:rPr>
          <w:rFonts w:hint="eastAsia"/>
          <w:color w:val="auto"/>
        </w:rPr>
        <w:t>最低报价不能作为</w:t>
      </w:r>
      <w:r>
        <w:rPr>
          <w:rFonts w:hint="eastAsia"/>
          <w:color w:val="auto"/>
          <w:lang w:val="en-US" w:eastAsia="zh-CN"/>
        </w:rPr>
        <w:t>成交</w:t>
      </w:r>
      <w:r>
        <w:rPr>
          <w:rFonts w:hint="eastAsia"/>
          <w:color w:val="auto"/>
        </w:rPr>
        <w:t>的保证</w:t>
      </w:r>
      <w:r>
        <w:rPr>
          <w:rFonts w:hint="eastAsia"/>
          <w:color w:val="auto"/>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07" w:name="_Toc246996194"/>
      <w:bookmarkStart w:id="108" w:name="_Toc247085708"/>
      <w:bookmarkStart w:id="109" w:name="_Toc246996937"/>
      <w:bookmarkStart w:id="110" w:name="_Toc296602439"/>
      <w:r>
        <w:rPr>
          <w:rFonts w:hint="eastAsia"/>
          <w:color w:val="auto"/>
          <w:lang w:val="en-US" w:eastAsia="zh-CN"/>
        </w:rPr>
        <w:t>10.</w:t>
      </w:r>
      <w:bookmarkEnd w:id="103"/>
      <w:bookmarkEnd w:id="104"/>
      <w:bookmarkEnd w:id="105"/>
      <w:bookmarkEnd w:id="106"/>
      <w:bookmarkEnd w:id="107"/>
      <w:bookmarkEnd w:id="108"/>
      <w:bookmarkEnd w:id="109"/>
      <w:bookmarkEnd w:id="110"/>
      <w:r>
        <w:rPr>
          <w:rFonts w:hint="eastAsia"/>
          <w:color w:val="auto"/>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.1 </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文件的相关规定提交</w:t>
      </w:r>
      <w:r>
        <w:rPr>
          <w:rFonts w:hint="eastAsia"/>
          <w:color w:val="auto"/>
          <w:lang w:eastAsia="zh-CN"/>
        </w:rPr>
        <w:t>响应担保，</w:t>
      </w:r>
      <w:r>
        <w:rPr>
          <w:rFonts w:hint="eastAsia"/>
          <w:color w:val="auto"/>
        </w:rPr>
        <w:t>并作为其</w:t>
      </w:r>
      <w:r>
        <w:rPr>
          <w:rFonts w:hint="eastAsia"/>
          <w:color w:val="auto"/>
          <w:lang w:eastAsia="zh-CN"/>
        </w:rPr>
        <w:t>响应文件</w:t>
      </w:r>
      <w:r>
        <w:rPr>
          <w:rFonts w:hint="eastAsia"/>
          <w:color w:val="auto"/>
        </w:rPr>
        <w:t>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.2 </w:t>
      </w:r>
      <w:r>
        <w:rPr>
          <w:rFonts w:hint="eastAsia"/>
          <w:color w:val="auto"/>
          <w:lang w:eastAsia="zh-CN"/>
        </w:rPr>
        <w:t>供应商</w:t>
      </w:r>
      <w:r>
        <w:rPr>
          <w:rFonts w:hint="eastAsia"/>
          <w:color w:val="auto"/>
        </w:rPr>
        <w:t>以现金方式提交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须从</w:t>
      </w:r>
      <w:r>
        <w:rPr>
          <w:rFonts w:hint="eastAsia"/>
          <w:color w:val="auto"/>
          <w:lang w:eastAsia="zh-CN"/>
        </w:rPr>
        <w:t>供应商</w:t>
      </w:r>
      <w:r>
        <w:rPr>
          <w:rFonts w:hint="eastAsia"/>
          <w:color w:val="auto"/>
        </w:rPr>
        <w:t>本单位账户汇出，不接受其他单位或个人代缴的</w:t>
      </w:r>
      <w:r>
        <w:rPr>
          <w:rFonts w:hint="eastAsia"/>
          <w:color w:val="auto"/>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.3 未按照</w:t>
      </w:r>
      <w:r>
        <w:rPr>
          <w:rFonts w:hint="eastAsia"/>
          <w:color w:val="auto"/>
          <w:lang w:eastAsia="zh-CN"/>
        </w:rPr>
        <w:t>询比</w:t>
      </w:r>
      <w:r>
        <w:rPr>
          <w:rFonts w:hint="eastAsia"/>
          <w:color w:val="auto"/>
        </w:rPr>
        <w:t>文件的规定提交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.4</w:t>
      </w:r>
      <w:r>
        <w:rPr>
          <w:rFonts w:hint="eastAsia"/>
          <w:color w:val="auto"/>
          <w:lang w:eastAsia="zh-CN"/>
        </w:rPr>
        <w:t>供应商</w:t>
      </w:r>
      <w:r>
        <w:rPr>
          <w:rFonts w:hint="eastAsia"/>
          <w:color w:val="auto"/>
        </w:rPr>
        <w:t>以现金方式提交的</w:t>
      </w:r>
      <w:r>
        <w:rPr>
          <w:rFonts w:hint="eastAsia"/>
          <w:color w:val="auto"/>
          <w:lang w:eastAsia="zh-CN"/>
        </w:rPr>
        <w:t>响应担保</w:t>
      </w:r>
      <w:r>
        <w:rPr>
          <w:rFonts w:hint="eastAsia"/>
          <w:color w:val="auto"/>
        </w:rPr>
        <w:t>将一律按电汇或转账方式退还至</w:t>
      </w:r>
      <w:r>
        <w:rPr>
          <w:rFonts w:hint="eastAsia"/>
          <w:color w:val="auto"/>
          <w:lang w:eastAsia="zh-CN"/>
        </w:rPr>
        <w:t>供应商</w:t>
      </w:r>
      <w:r>
        <w:rPr>
          <w:rFonts w:hint="eastAsia"/>
          <w:color w:val="auto"/>
        </w:rPr>
        <w:t>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.5下列任何情况发生时</w:t>
      </w:r>
      <w:r>
        <w:rPr>
          <w:rFonts w:hint="eastAsia"/>
          <w:color w:val="auto"/>
          <w:lang w:eastAsia="zh-CN"/>
        </w:rPr>
        <w:t>，响应</w:t>
      </w:r>
      <w:r>
        <w:rPr>
          <w:rFonts w:hint="eastAsia"/>
          <w:color w:val="auto"/>
          <w:lang w:val="en-US" w:eastAsia="zh-CN"/>
        </w:rPr>
        <w:t>保证金</w:t>
      </w:r>
      <w:r>
        <w:rPr>
          <w:rFonts w:hint="eastAsia"/>
          <w:color w:val="auto"/>
        </w:rPr>
        <w:t>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）供应商</w:t>
      </w:r>
      <w:r>
        <w:rPr>
          <w:rFonts w:hint="eastAsia"/>
          <w:color w:val="auto"/>
        </w:rPr>
        <w:t>在</w:t>
      </w:r>
      <w:r>
        <w:rPr>
          <w:rFonts w:hint="eastAsia"/>
          <w:color w:val="auto"/>
          <w:lang w:val="en-US" w:eastAsia="zh-CN"/>
        </w:rPr>
        <w:t>响应</w:t>
      </w:r>
      <w:r>
        <w:rPr>
          <w:rFonts w:hint="eastAsia"/>
          <w:color w:val="auto"/>
        </w:rPr>
        <w:t>有效期内撤销其</w:t>
      </w:r>
      <w:r>
        <w:rPr>
          <w:rFonts w:hint="eastAsia"/>
          <w:color w:val="auto"/>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）成交人</w:t>
      </w:r>
      <w:r>
        <w:rPr>
          <w:rFonts w:hint="eastAsia"/>
          <w:color w:val="auto"/>
        </w:rPr>
        <w:t>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4</w:t>
      </w:r>
      <w:r>
        <w:rPr>
          <w:rFonts w:hint="eastAsia"/>
          <w:color w:val="auto"/>
          <w:lang w:eastAsia="zh-CN"/>
        </w:rPr>
        <w:t>）供应商</w:t>
      </w:r>
      <w:r>
        <w:rPr>
          <w:rFonts w:hint="eastAsia"/>
          <w:color w:val="auto"/>
        </w:rPr>
        <w:t>在</w:t>
      </w:r>
      <w:r>
        <w:rPr>
          <w:rFonts w:hint="eastAsia"/>
          <w:color w:val="auto"/>
          <w:lang w:eastAsia="zh-CN"/>
        </w:rPr>
        <w:t>响应文件</w:t>
      </w:r>
      <w:r>
        <w:rPr>
          <w:rFonts w:hint="eastAsia"/>
          <w:color w:val="auto"/>
        </w:rPr>
        <w:t>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1" w:name="_Toc144974523"/>
      <w:bookmarkStart w:id="112" w:name="_Toc246996942"/>
      <w:bookmarkStart w:id="113" w:name="_Toc152042331"/>
      <w:bookmarkStart w:id="114" w:name="_Toc296602443"/>
      <w:bookmarkStart w:id="115" w:name="_Toc179632573"/>
      <w:bookmarkStart w:id="116" w:name="_Toc152045555"/>
      <w:bookmarkStart w:id="117" w:name="_Toc246996199"/>
      <w:bookmarkStart w:id="118" w:name="_Toc247085713"/>
      <w:r>
        <w:rPr>
          <w:rFonts w:hint="eastAsia"/>
          <w:color w:val="auto"/>
          <w:lang w:val="en-US" w:eastAsia="zh-CN"/>
        </w:rPr>
        <w:t>四</w:t>
      </w:r>
      <w:bookmarkEnd w:id="111"/>
      <w:bookmarkEnd w:id="112"/>
      <w:bookmarkEnd w:id="113"/>
      <w:bookmarkEnd w:id="114"/>
      <w:bookmarkEnd w:id="115"/>
      <w:bookmarkEnd w:id="116"/>
      <w:bookmarkEnd w:id="117"/>
      <w:bookmarkEnd w:id="118"/>
      <w:r>
        <w:rPr>
          <w:rFonts w:hint="eastAsia"/>
          <w:color w:val="auto"/>
          <w:lang w:eastAsia="zh-CN"/>
        </w:rPr>
        <w:t>、响应文件</w:t>
      </w:r>
      <w:r>
        <w:rPr>
          <w:rFonts w:hint="eastAsia"/>
          <w:color w:val="auto"/>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9" w:name="_Toc179632574"/>
      <w:bookmarkStart w:id="120" w:name="_Toc247085714"/>
      <w:bookmarkStart w:id="121" w:name="_Toc152042332"/>
      <w:bookmarkStart w:id="122" w:name="_Toc246996943"/>
      <w:bookmarkStart w:id="123" w:name="_Toc144974524"/>
      <w:bookmarkStart w:id="124" w:name="_Toc246996200"/>
      <w:bookmarkStart w:id="125" w:name="_Toc296602444"/>
      <w:bookmarkStart w:id="126" w:name="_Toc152045556"/>
      <w:r>
        <w:rPr>
          <w:rFonts w:hint="eastAsia"/>
          <w:color w:val="auto"/>
          <w:lang w:val="en-US" w:eastAsia="zh-CN"/>
        </w:rPr>
        <w:t>11.</w:t>
      </w:r>
      <w:bookmarkEnd w:id="119"/>
      <w:bookmarkEnd w:id="120"/>
      <w:bookmarkEnd w:id="121"/>
      <w:bookmarkEnd w:id="122"/>
      <w:bookmarkEnd w:id="123"/>
      <w:bookmarkEnd w:id="124"/>
      <w:bookmarkEnd w:id="125"/>
      <w:bookmarkEnd w:id="126"/>
      <w:r>
        <w:rPr>
          <w:rFonts w:hint="eastAsia"/>
          <w:color w:val="auto"/>
          <w:lang w:eastAsia="zh-CN"/>
        </w:rPr>
        <w:t>响应文件</w:t>
      </w:r>
      <w:r>
        <w:rPr>
          <w:rFonts w:hint="eastAsia"/>
          <w:color w:val="auto"/>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27" w:name="_Toc152045557"/>
      <w:bookmarkStart w:id="128" w:name="_Toc246996201"/>
      <w:bookmarkStart w:id="129" w:name="_Toc179632575"/>
      <w:bookmarkStart w:id="130" w:name="_Toc246996944"/>
      <w:bookmarkStart w:id="131" w:name="_Toc144974525"/>
      <w:bookmarkStart w:id="132" w:name="_Toc247085715"/>
      <w:bookmarkStart w:id="133" w:name="_Toc152042333"/>
      <w:r>
        <w:rPr>
          <w:rFonts w:hint="eastAsia"/>
          <w:color w:val="auto"/>
        </w:rPr>
        <w:t>1</w:t>
      </w:r>
      <w:r>
        <w:rPr>
          <w:rFonts w:hint="eastAsia"/>
          <w:color w:val="auto"/>
          <w:lang w:val="en-US" w:eastAsia="zh-CN"/>
        </w:rPr>
        <w:t>1</w:t>
      </w:r>
      <w:r>
        <w:rPr>
          <w:rFonts w:hint="eastAsia"/>
          <w:color w:val="auto"/>
        </w:rPr>
        <w:t>.1</w:t>
      </w:r>
      <w:r>
        <w:rPr>
          <w:rFonts w:hint="eastAsia"/>
          <w:color w:val="auto"/>
          <w:lang w:eastAsia="zh-CN"/>
        </w:rPr>
        <w:t>响应文件</w:t>
      </w:r>
      <w:r>
        <w:rPr>
          <w:rFonts w:hint="eastAsia"/>
          <w:color w:val="auto"/>
        </w:rPr>
        <w:t>正本和所有的副本须密封装在包装中</w:t>
      </w:r>
      <w:r>
        <w:rPr>
          <w:rFonts w:hint="eastAsia"/>
          <w:color w:val="auto"/>
          <w:lang w:eastAsia="zh-CN"/>
        </w:rPr>
        <w:t>。</w:t>
      </w:r>
      <w:r>
        <w:rPr>
          <w:rFonts w:hint="eastAsia"/>
          <w:color w:val="auto"/>
        </w:rPr>
        <w:t>若项目分包</w:t>
      </w:r>
      <w:r>
        <w:rPr>
          <w:rFonts w:hint="eastAsia"/>
          <w:color w:val="auto"/>
          <w:lang w:eastAsia="zh-CN"/>
        </w:rPr>
        <w:t>，供应商</w:t>
      </w:r>
      <w:r>
        <w:rPr>
          <w:rFonts w:hint="eastAsia"/>
          <w:color w:val="auto"/>
        </w:rPr>
        <w:t>参加多个包号</w:t>
      </w:r>
      <w:r>
        <w:rPr>
          <w:rFonts w:hint="eastAsia"/>
          <w:color w:val="auto"/>
          <w:lang w:eastAsia="zh-CN"/>
        </w:rPr>
        <w:t>响应</w:t>
      </w:r>
      <w:r>
        <w:rPr>
          <w:rFonts w:hint="eastAsia"/>
          <w:color w:val="auto"/>
        </w:rPr>
        <w:t>的</w:t>
      </w:r>
      <w:r>
        <w:rPr>
          <w:rFonts w:hint="eastAsia"/>
          <w:color w:val="auto"/>
          <w:lang w:eastAsia="zh-CN"/>
        </w:rPr>
        <w:t>，响应文件</w:t>
      </w:r>
      <w:r>
        <w:rPr>
          <w:rFonts w:hint="eastAsia"/>
          <w:color w:val="auto"/>
        </w:rPr>
        <w:t>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11.2</w:t>
      </w:r>
      <w:r>
        <w:rPr>
          <w:rFonts w:hint="eastAsia"/>
          <w:color w:val="auto"/>
        </w:rPr>
        <w:t>如果包装未按规定标记并密封</w:t>
      </w:r>
      <w:r>
        <w:rPr>
          <w:rFonts w:hint="eastAsia"/>
          <w:color w:val="auto"/>
          <w:lang w:eastAsia="zh-CN"/>
        </w:rPr>
        <w:t>，采购人</w:t>
      </w:r>
      <w:r>
        <w:rPr>
          <w:rFonts w:hint="eastAsia"/>
          <w:color w:val="auto"/>
        </w:rPr>
        <w:t>或</w:t>
      </w:r>
      <w:r>
        <w:rPr>
          <w:rFonts w:hint="eastAsia"/>
          <w:color w:val="auto"/>
          <w:lang w:val="en-US" w:eastAsia="zh-CN"/>
        </w:rPr>
        <w:t>采购平台</w:t>
      </w:r>
      <w:r>
        <w:rPr>
          <w:rFonts w:hint="eastAsia"/>
          <w:color w:val="auto"/>
        </w:rPr>
        <w:t>将不承担错放或</w:t>
      </w:r>
      <w:r>
        <w:rPr>
          <w:rFonts w:hint="eastAsia"/>
          <w:color w:val="auto"/>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12.</w:t>
      </w:r>
      <w:r>
        <w:rPr>
          <w:rFonts w:hint="eastAsia"/>
          <w:color w:val="auto"/>
        </w:rPr>
        <w:t>提交</w:t>
      </w:r>
      <w:r>
        <w:rPr>
          <w:rFonts w:hint="eastAsia"/>
          <w:color w:val="auto"/>
          <w:lang w:eastAsia="zh-CN"/>
        </w:rPr>
        <w:t>响应文件</w:t>
      </w:r>
      <w:r>
        <w:rPr>
          <w:rFonts w:hint="eastAsia"/>
          <w:color w:val="auto"/>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.1</w:t>
      </w:r>
      <w:r>
        <w:rPr>
          <w:rFonts w:hint="eastAsia"/>
          <w:color w:val="auto"/>
          <w:lang w:eastAsia="zh-CN"/>
        </w:rPr>
        <w:t>响应文件</w:t>
      </w:r>
      <w:r>
        <w:rPr>
          <w:rFonts w:hint="eastAsia"/>
          <w:color w:val="auto"/>
        </w:rPr>
        <w:t>应于规定的</w:t>
      </w:r>
      <w:r>
        <w:rPr>
          <w:rFonts w:hint="eastAsia"/>
          <w:color w:val="auto"/>
          <w:lang w:eastAsia="zh-CN"/>
        </w:rPr>
        <w:t>响应</w:t>
      </w:r>
      <w:r>
        <w:rPr>
          <w:rFonts w:hint="eastAsia"/>
          <w:color w:val="auto"/>
          <w:lang w:val="en-US" w:eastAsia="zh-CN"/>
        </w:rPr>
        <w:t>文件递交</w:t>
      </w:r>
      <w:r>
        <w:rPr>
          <w:rFonts w:hint="eastAsia"/>
          <w:color w:val="auto"/>
        </w:rPr>
        <w:t>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.2</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可以依照法律规定延长</w:t>
      </w:r>
      <w:r>
        <w:rPr>
          <w:rFonts w:hint="eastAsia"/>
          <w:color w:val="auto"/>
          <w:lang w:eastAsia="zh-CN"/>
        </w:rPr>
        <w:t>响应</w:t>
      </w:r>
      <w:r>
        <w:rPr>
          <w:rFonts w:hint="eastAsia"/>
          <w:color w:val="auto"/>
          <w:lang w:val="en-US" w:eastAsia="zh-CN"/>
        </w:rPr>
        <w:t>文件递交</w:t>
      </w:r>
      <w:r>
        <w:rPr>
          <w:rFonts w:hint="eastAsia"/>
          <w:color w:val="auto"/>
        </w:rPr>
        <w:t>截止期</w:t>
      </w:r>
      <w:r>
        <w:rPr>
          <w:rFonts w:hint="eastAsia"/>
          <w:color w:val="auto"/>
          <w:lang w:eastAsia="zh-CN"/>
        </w:rPr>
        <w:t>。</w:t>
      </w:r>
      <w:r>
        <w:rPr>
          <w:rFonts w:hint="eastAsia"/>
          <w:color w:val="auto"/>
        </w:rPr>
        <w:t>在此情况下</w:t>
      </w:r>
      <w:r>
        <w:rPr>
          <w:rFonts w:hint="eastAsia"/>
          <w:color w:val="auto"/>
          <w:lang w:eastAsia="zh-CN"/>
        </w:rPr>
        <w:t>采购平台</w:t>
      </w:r>
      <w:r>
        <w:rPr>
          <w:rFonts w:hint="eastAsia"/>
          <w:color w:val="auto"/>
        </w:rPr>
        <w:t>和</w:t>
      </w:r>
      <w:r>
        <w:rPr>
          <w:rFonts w:hint="eastAsia"/>
          <w:color w:val="auto"/>
          <w:lang w:eastAsia="zh-CN"/>
        </w:rPr>
        <w:t>供应商</w:t>
      </w:r>
      <w:r>
        <w:rPr>
          <w:rFonts w:hint="eastAsia"/>
          <w:color w:val="auto"/>
        </w:rPr>
        <w:t>受</w:t>
      </w:r>
      <w:r>
        <w:rPr>
          <w:rFonts w:hint="eastAsia"/>
          <w:color w:val="auto"/>
          <w:lang w:eastAsia="zh-CN"/>
        </w:rPr>
        <w:t>响应</w:t>
      </w:r>
      <w:r>
        <w:rPr>
          <w:rFonts w:hint="eastAsia"/>
          <w:color w:val="auto"/>
        </w:rPr>
        <w:t>截止期制约的所有权利和义务均应延长至新的截止日期</w:t>
      </w:r>
      <w:r>
        <w:rPr>
          <w:rFonts w:hint="eastAsia"/>
          <w:color w:val="auto"/>
          <w:lang w:eastAsia="zh-CN"/>
        </w:rPr>
        <w:t>。</w:t>
      </w:r>
    </w:p>
    <w:p w14:paraId="6B5AD322">
      <w:pPr>
        <w:pStyle w:val="12"/>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w:t>
      </w:r>
      <w:r>
        <w:rPr>
          <w:rFonts w:hint="eastAsia" w:asciiTheme="minorHAnsi" w:hAnsiTheme="minorHAnsi"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.3</w:t>
      </w:r>
      <w:r>
        <w:rPr>
          <w:rFonts w:hint="eastAsia" w:asciiTheme="minorHAnsi" w:hAnsiTheme="minorHAnsi" w:cstheme="minorBidi"/>
          <w:color w:val="auto"/>
          <w:kern w:val="2"/>
          <w:sz w:val="21"/>
          <w:szCs w:val="24"/>
          <w:lang w:val="en-US" w:eastAsia="zh-CN" w:bidi="ar-SA"/>
        </w:rPr>
        <w:t>采购人</w:t>
      </w:r>
      <w:r>
        <w:rPr>
          <w:rFonts w:hint="eastAsia" w:asciiTheme="minorHAnsi" w:hAnsiTheme="minorHAnsi" w:eastAsiaTheme="minorEastAsia" w:cstheme="minorBidi"/>
          <w:color w:val="auto"/>
          <w:kern w:val="2"/>
          <w:sz w:val="21"/>
          <w:szCs w:val="24"/>
          <w:lang w:val="en-US" w:eastAsia="zh-CN" w:bidi="ar-SA"/>
        </w:rPr>
        <w:t>和</w:t>
      </w:r>
      <w:r>
        <w:rPr>
          <w:rFonts w:hint="eastAsia" w:asciiTheme="minorHAnsi" w:hAnsiTheme="minorHAnsi" w:cstheme="minorBidi"/>
          <w:color w:val="auto"/>
          <w:kern w:val="2"/>
          <w:sz w:val="21"/>
          <w:szCs w:val="24"/>
          <w:lang w:val="en-US" w:eastAsia="zh-CN" w:bidi="ar-SA"/>
        </w:rPr>
        <w:t>采购平台</w:t>
      </w:r>
      <w:r>
        <w:rPr>
          <w:rFonts w:hint="eastAsia" w:asciiTheme="minorHAnsi" w:hAnsiTheme="minorHAnsi" w:eastAsiaTheme="minorEastAsia" w:cstheme="minorBidi"/>
          <w:color w:val="auto"/>
          <w:kern w:val="2"/>
          <w:sz w:val="21"/>
          <w:szCs w:val="24"/>
          <w:lang w:val="en-US" w:eastAsia="zh-CN" w:bidi="ar-SA"/>
        </w:rPr>
        <w:t>将拒绝并退回在响应文件递交截止期后收到的任何</w:t>
      </w:r>
      <w:r>
        <w:rPr>
          <w:rFonts w:hint="eastAsia" w:asciiTheme="minorHAnsi" w:hAnsiTheme="minorHAnsi" w:cstheme="minorBidi"/>
          <w:color w:val="auto"/>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34" w:name="_Toc152042334"/>
      <w:bookmarkStart w:id="135" w:name="_Toc144974526"/>
      <w:bookmarkStart w:id="136" w:name="_Toc296602446"/>
      <w:bookmarkStart w:id="137" w:name="_Toc246996945"/>
      <w:bookmarkStart w:id="138" w:name="_Toc152045558"/>
      <w:bookmarkStart w:id="139" w:name="_Toc179632576"/>
      <w:bookmarkStart w:id="140" w:name="_Toc247085716"/>
      <w:bookmarkStart w:id="141" w:name="_Toc246996202"/>
      <w:r>
        <w:rPr>
          <w:rFonts w:hint="eastAsia"/>
          <w:color w:val="auto"/>
          <w:lang w:val="en-US" w:eastAsia="zh-CN"/>
        </w:rPr>
        <w:t>13.</w:t>
      </w:r>
      <w:r>
        <w:rPr>
          <w:rFonts w:hint="eastAsia"/>
          <w:color w:val="auto"/>
          <w:lang w:eastAsia="zh-CN"/>
        </w:rPr>
        <w:t>响应文件</w:t>
      </w:r>
      <w:r>
        <w:rPr>
          <w:rFonts w:hint="eastAsia"/>
          <w:color w:val="auto"/>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.1</w:t>
      </w:r>
      <w:r>
        <w:rPr>
          <w:rFonts w:hint="eastAsia"/>
          <w:color w:val="auto"/>
          <w:lang w:eastAsia="zh-CN"/>
        </w:rPr>
        <w:t>供应商</w:t>
      </w:r>
      <w:r>
        <w:rPr>
          <w:rFonts w:hint="eastAsia"/>
          <w:color w:val="auto"/>
        </w:rPr>
        <w:t>在提交</w:t>
      </w:r>
      <w:r>
        <w:rPr>
          <w:rFonts w:hint="eastAsia"/>
          <w:color w:val="auto"/>
          <w:lang w:eastAsia="zh-CN"/>
        </w:rPr>
        <w:t>响应文件</w:t>
      </w:r>
      <w:r>
        <w:rPr>
          <w:rFonts w:hint="eastAsia"/>
          <w:color w:val="auto"/>
        </w:rPr>
        <w:t>后</w:t>
      </w:r>
      <w:r>
        <w:rPr>
          <w:rFonts w:hint="eastAsia"/>
          <w:color w:val="auto"/>
          <w:lang w:eastAsia="zh-CN"/>
        </w:rPr>
        <w:t>，</w:t>
      </w:r>
      <w:r>
        <w:rPr>
          <w:rFonts w:hint="eastAsia"/>
          <w:color w:val="auto"/>
        </w:rPr>
        <w:t>可以修改或撤回其</w:t>
      </w:r>
      <w:r>
        <w:rPr>
          <w:rFonts w:hint="eastAsia"/>
          <w:color w:val="auto"/>
          <w:lang w:eastAsia="zh-CN"/>
        </w:rPr>
        <w:t>响应</w:t>
      </w:r>
      <w:r>
        <w:rPr>
          <w:rFonts w:hint="eastAsia"/>
          <w:color w:val="auto"/>
          <w:lang w:val="en-US" w:eastAsia="zh-CN"/>
        </w:rPr>
        <w:t>文件</w:t>
      </w:r>
      <w:r>
        <w:rPr>
          <w:rFonts w:hint="eastAsia"/>
          <w:color w:val="auto"/>
          <w:lang w:eastAsia="zh-CN"/>
        </w:rPr>
        <w:t>，</w:t>
      </w:r>
      <w:r>
        <w:rPr>
          <w:rFonts w:hint="eastAsia"/>
          <w:color w:val="auto"/>
        </w:rPr>
        <w:t>但这种修改和撤回，必须在规定的</w:t>
      </w:r>
      <w:r>
        <w:rPr>
          <w:rFonts w:hint="eastAsia"/>
          <w:color w:val="auto"/>
          <w:lang w:eastAsia="zh-CN"/>
        </w:rPr>
        <w:t>响应</w:t>
      </w:r>
      <w:r>
        <w:rPr>
          <w:rFonts w:hint="eastAsia"/>
          <w:color w:val="auto"/>
          <w:lang w:val="en-US" w:eastAsia="zh-CN"/>
        </w:rPr>
        <w:t>文件递交</w:t>
      </w:r>
      <w:r>
        <w:rPr>
          <w:rFonts w:hint="eastAsia"/>
          <w:color w:val="auto"/>
        </w:rPr>
        <w:t>截止时间前</w:t>
      </w:r>
      <w:r>
        <w:rPr>
          <w:rFonts w:hint="eastAsia"/>
          <w:color w:val="auto"/>
          <w:lang w:eastAsia="zh-CN"/>
        </w:rPr>
        <w:t>，</w:t>
      </w:r>
      <w:r>
        <w:rPr>
          <w:rFonts w:hint="eastAsia"/>
          <w:color w:val="auto"/>
        </w:rPr>
        <w:t>并以书面形式通知</w:t>
      </w:r>
      <w:r>
        <w:rPr>
          <w:rFonts w:hint="eastAsia"/>
          <w:color w:val="auto"/>
          <w:lang w:val="en-US" w:eastAsia="zh-CN"/>
        </w:rPr>
        <w:t>采购平台</w:t>
      </w:r>
      <w:r>
        <w:rPr>
          <w:rFonts w:hint="eastAsia"/>
          <w:color w:val="auto"/>
          <w:lang w:eastAsia="zh-CN"/>
        </w:rPr>
        <w:t>。</w:t>
      </w:r>
      <w:r>
        <w:rPr>
          <w:rFonts w:hint="eastAsia"/>
          <w:color w:val="auto"/>
        </w:rPr>
        <w:t>在</w:t>
      </w:r>
      <w:r>
        <w:rPr>
          <w:rFonts w:hint="eastAsia"/>
          <w:color w:val="auto"/>
          <w:lang w:eastAsia="zh-CN"/>
        </w:rPr>
        <w:t>响应</w:t>
      </w:r>
      <w:r>
        <w:rPr>
          <w:rFonts w:hint="eastAsia"/>
          <w:color w:val="auto"/>
          <w:lang w:val="en-US" w:eastAsia="zh-CN"/>
        </w:rPr>
        <w:t>文件递交</w:t>
      </w:r>
      <w:r>
        <w:rPr>
          <w:rFonts w:hint="eastAsia"/>
          <w:color w:val="auto"/>
        </w:rPr>
        <w:t>截止时间后</w:t>
      </w:r>
      <w:r>
        <w:rPr>
          <w:rFonts w:hint="eastAsia"/>
          <w:color w:val="auto"/>
          <w:lang w:eastAsia="zh-CN"/>
        </w:rPr>
        <w:t>，供应商</w:t>
      </w:r>
      <w:r>
        <w:rPr>
          <w:rFonts w:hint="eastAsia"/>
          <w:color w:val="auto"/>
        </w:rPr>
        <w:t>不得再要求修改或撤销其</w:t>
      </w:r>
      <w:r>
        <w:rPr>
          <w:rFonts w:hint="eastAsia"/>
          <w:color w:val="auto"/>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2</w:t>
      </w:r>
      <w:r>
        <w:rPr>
          <w:rFonts w:hint="eastAsia"/>
          <w:color w:val="auto"/>
        </w:rPr>
        <w:t>从</w:t>
      </w:r>
      <w:r>
        <w:rPr>
          <w:rFonts w:hint="eastAsia"/>
          <w:color w:val="auto"/>
          <w:lang w:eastAsia="zh-CN"/>
        </w:rPr>
        <w:t>响应</w:t>
      </w:r>
      <w:r>
        <w:rPr>
          <w:rFonts w:hint="eastAsia"/>
          <w:color w:val="auto"/>
          <w:lang w:val="en-US" w:eastAsia="zh-CN"/>
        </w:rPr>
        <w:t>文件递交</w:t>
      </w:r>
      <w:r>
        <w:rPr>
          <w:rFonts w:hint="eastAsia"/>
          <w:color w:val="auto"/>
        </w:rPr>
        <w:t>截止期至</w:t>
      </w:r>
      <w:r>
        <w:rPr>
          <w:rFonts w:hint="eastAsia"/>
          <w:color w:val="auto"/>
          <w:lang w:eastAsia="zh-CN"/>
        </w:rPr>
        <w:t>响应文件</w:t>
      </w:r>
      <w:r>
        <w:rPr>
          <w:rFonts w:hint="eastAsia"/>
          <w:color w:val="auto"/>
        </w:rPr>
        <w:t>有效期结束为止</w:t>
      </w:r>
      <w:r>
        <w:rPr>
          <w:rFonts w:hint="eastAsia"/>
          <w:color w:val="auto"/>
          <w:lang w:eastAsia="zh-CN"/>
        </w:rPr>
        <w:t>，供应商</w:t>
      </w:r>
      <w:r>
        <w:rPr>
          <w:rFonts w:hint="eastAsia"/>
          <w:color w:val="auto"/>
        </w:rPr>
        <w:t>不得撤销其</w:t>
      </w:r>
      <w:r>
        <w:rPr>
          <w:rFonts w:hint="eastAsia"/>
          <w:color w:val="auto"/>
          <w:lang w:eastAsia="zh-CN"/>
        </w:rPr>
        <w:t>响应</w:t>
      </w:r>
      <w:r>
        <w:rPr>
          <w:rFonts w:hint="eastAsia"/>
          <w:color w:val="auto"/>
          <w:lang w:val="en-US" w:eastAsia="zh-CN"/>
        </w:rPr>
        <w:t>文件</w:t>
      </w:r>
      <w:r>
        <w:rPr>
          <w:rFonts w:hint="eastAsia"/>
          <w:color w:val="auto"/>
        </w:rPr>
        <w:t>，否则将不予退还其</w:t>
      </w:r>
      <w:r>
        <w:rPr>
          <w:rFonts w:hint="eastAsia"/>
          <w:color w:val="auto"/>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42" w:name="_Toc246996946"/>
      <w:bookmarkStart w:id="143" w:name="_Toc247085717"/>
      <w:bookmarkStart w:id="144" w:name="_Toc152042335"/>
      <w:bookmarkStart w:id="145" w:name="_Toc144974527"/>
      <w:bookmarkStart w:id="146" w:name="_Toc246996203"/>
      <w:bookmarkStart w:id="147" w:name="_Toc296602447"/>
      <w:bookmarkStart w:id="148" w:name="_Toc179632577"/>
      <w:bookmarkStart w:id="149" w:name="_Toc152045559"/>
      <w:r>
        <w:rPr>
          <w:rFonts w:hint="eastAsia"/>
          <w:color w:val="auto"/>
          <w:lang w:val="en-US" w:eastAsia="zh-CN"/>
        </w:rPr>
        <w:t>五</w:t>
      </w:r>
      <w:r>
        <w:rPr>
          <w:rFonts w:hint="eastAsia"/>
          <w:color w:val="auto"/>
          <w:lang w:eastAsia="zh-CN"/>
        </w:rPr>
        <w:t>、</w:t>
      </w:r>
      <w:bookmarkEnd w:id="142"/>
      <w:bookmarkEnd w:id="143"/>
      <w:bookmarkEnd w:id="144"/>
      <w:bookmarkEnd w:id="145"/>
      <w:bookmarkEnd w:id="146"/>
      <w:bookmarkEnd w:id="147"/>
      <w:bookmarkEnd w:id="148"/>
      <w:bookmarkEnd w:id="149"/>
      <w:r>
        <w:rPr>
          <w:rFonts w:hint="eastAsia"/>
          <w:color w:val="auto"/>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0" w:name="_Toc152045560"/>
      <w:bookmarkStart w:id="151" w:name="_Toc144974528"/>
      <w:bookmarkStart w:id="152" w:name="_Toc179632578"/>
      <w:bookmarkStart w:id="153" w:name="_Toc246996947"/>
      <w:bookmarkStart w:id="154" w:name="_Toc296602448"/>
      <w:bookmarkStart w:id="155" w:name="_Toc152042336"/>
      <w:bookmarkStart w:id="156" w:name="_Toc246996204"/>
      <w:bookmarkStart w:id="157" w:name="_Toc247085718"/>
      <w:r>
        <w:rPr>
          <w:rFonts w:hint="eastAsia"/>
          <w:color w:val="auto"/>
          <w:lang w:val="en-US" w:eastAsia="zh-CN"/>
        </w:rPr>
        <w:t>14.</w:t>
      </w:r>
      <w:r>
        <w:rPr>
          <w:rFonts w:hint="eastAsia"/>
          <w:color w:val="auto"/>
          <w:lang w:eastAsia="zh-CN"/>
        </w:rPr>
        <w:t>开启（</w:t>
      </w:r>
      <w:r>
        <w:rPr>
          <w:rFonts w:hint="eastAsia"/>
          <w:color w:val="auto"/>
          <w:lang w:val="en-US" w:eastAsia="zh-CN"/>
        </w:rPr>
        <w:t>或开启响应文件）</w:t>
      </w:r>
      <w:r>
        <w:rPr>
          <w:rFonts w:hint="eastAsia"/>
          <w:color w:val="auto"/>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.1</w:t>
      </w:r>
      <w:r>
        <w:rPr>
          <w:rFonts w:hint="eastAsia"/>
          <w:color w:val="auto"/>
          <w:lang w:eastAsia="zh-CN"/>
        </w:rPr>
        <w:t>采购平台</w:t>
      </w:r>
      <w:r>
        <w:rPr>
          <w:rFonts w:hint="eastAsia"/>
          <w:color w:val="auto"/>
        </w:rPr>
        <w:t>在</w:t>
      </w:r>
      <w:r>
        <w:rPr>
          <w:rFonts w:hint="eastAsia"/>
          <w:color w:val="auto"/>
          <w:lang w:eastAsia="zh-CN"/>
        </w:rPr>
        <w:t>供应商</w:t>
      </w:r>
      <w:r>
        <w:rPr>
          <w:rFonts w:hint="eastAsia"/>
          <w:color w:val="auto"/>
        </w:rPr>
        <w:t>须知前附表规定的时间和地点公开</w:t>
      </w:r>
      <w:r>
        <w:rPr>
          <w:rFonts w:hint="eastAsia"/>
          <w:color w:val="auto"/>
          <w:lang w:eastAsia="zh-CN"/>
        </w:rPr>
        <w:t>开启。</w:t>
      </w:r>
      <w:r>
        <w:rPr>
          <w:rFonts w:hint="eastAsia"/>
          <w:color w:val="auto"/>
        </w:rPr>
        <w:t>出席</w:t>
      </w:r>
      <w:r>
        <w:rPr>
          <w:rFonts w:hint="eastAsia"/>
          <w:color w:val="auto"/>
          <w:lang w:eastAsia="zh-CN"/>
        </w:rPr>
        <w:t>开启</w:t>
      </w:r>
      <w:r>
        <w:rPr>
          <w:rFonts w:hint="eastAsia"/>
          <w:color w:val="auto"/>
        </w:rPr>
        <w:t>仪式的</w:t>
      </w:r>
      <w:r>
        <w:rPr>
          <w:rFonts w:hint="eastAsia"/>
          <w:color w:val="auto"/>
          <w:lang w:eastAsia="zh-CN"/>
        </w:rPr>
        <w:t>供应商</w:t>
      </w:r>
      <w:r>
        <w:rPr>
          <w:rFonts w:hint="eastAsia"/>
          <w:color w:val="auto"/>
        </w:rPr>
        <w:t>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的允许</w:t>
      </w:r>
      <w:r>
        <w:rPr>
          <w:rFonts w:hint="eastAsia"/>
          <w:color w:val="auto"/>
          <w:lang w:eastAsia="zh-CN"/>
        </w:rPr>
        <w:t>，供应商</w:t>
      </w:r>
      <w:r>
        <w:rPr>
          <w:rFonts w:hint="eastAsia"/>
          <w:color w:val="auto"/>
        </w:rPr>
        <w:t>授权代表</w:t>
      </w:r>
      <w:r>
        <w:rPr>
          <w:rFonts w:hint="eastAsia"/>
          <w:color w:val="auto"/>
          <w:lang w:val="en-US" w:eastAsia="zh-CN"/>
        </w:rPr>
        <w:t>原则上</w:t>
      </w:r>
      <w:r>
        <w:rPr>
          <w:rFonts w:hint="eastAsia"/>
          <w:color w:val="auto"/>
        </w:rPr>
        <w:t>不得离开</w:t>
      </w:r>
      <w:r>
        <w:rPr>
          <w:rFonts w:hint="eastAsia"/>
          <w:color w:val="auto"/>
          <w:lang w:eastAsia="zh-CN"/>
        </w:rPr>
        <w:t>开启</w:t>
      </w:r>
      <w:r>
        <w:rPr>
          <w:rFonts w:hint="eastAsia"/>
          <w:color w:val="auto"/>
        </w:rPr>
        <w:t>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.2在</w:t>
      </w:r>
      <w:r>
        <w:rPr>
          <w:rFonts w:hint="eastAsia"/>
          <w:color w:val="auto"/>
          <w:lang w:eastAsia="zh-CN"/>
        </w:rPr>
        <w:t>开启</w:t>
      </w:r>
      <w:r>
        <w:rPr>
          <w:rFonts w:hint="eastAsia"/>
          <w:color w:val="auto"/>
        </w:rPr>
        <w:t>时</w:t>
      </w:r>
      <w:r>
        <w:rPr>
          <w:rFonts w:hint="eastAsia"/>
          <w:color w:val="auto"/>
          <w:lang w:eastAsia="zh-CN"/>
        </w:rPr>
        <w:t>，采购平台</w:t>
      </w:r>
      <w:r>
        <w:rPr>
          <w:rFonts w:hint="eastAsia"/>
          <w:color w:val="auto"/>
        </w:rPr>
        <w:t>宣读</w:t>
      </w:r>
      <w:r>
        <w:rPr>
          <w:rFonts w:hint="eastAsia"/>
          <w:color w:val="auto"/>
          <w:lang w:eastAsia="zh-CN"/>
        </w:rPr>
        <w:t>供应商</w:t>
      </w:r>
      <w:r>
        <w:rPr>
          <w:rFonts w:hint="eastAsia"/>
          <w:color w:val="auto"/>
        </w:rPr>
        <w:t>名称、</w:t>
      </w:r>
      <w:r>
        <w:rPr>
          <w:rFonts w:hint="eastAsia"/>
          <w:color w:val="auto"/>
          <w:lang w:eastAsia="zh-CN"/>
        </w:rPr>
        <w:t>响应</w:t>
      </w:r>
      <w:r>
        <w:rPr>
          <w:rFonts w:hint="eastAsia"/>
          <w:color w:val="auto"/>
        </w:rPr>
        <w:t>价格</w:t>
      </w:r>
      <w:r>
        <w:rPr>
          <w:rFonts w:hint="eastAsia"/>
          <w:color w:val="auto"/>
          <w:lang w:eastAsia="zh-CN"/>
        </w:rPr>
        <w:t>，</w:t>
      </w:r>
      <w:r>
        <w:rPr>
          <w:rFonts w:hint="eastAsia"/>
          <w:color w:val="auto"/>
        </w:rPr>
        <w:t>以及</w:t>
      </w:r>
      <w:r>
        <w:rPr>
          <w:rFonts w:hint="eastAsia"/>
          <w:color w:val="auto"/>
          <w:lang w:eastAsia="zh-CN"/>
        </w:rPr>
        <w:t>采购平台</w:t>
      </w:r>
      <w:r>
        <w:rPr>
          <w:rFonts w:hint="eastAsia"/>
          <w:color w:val="auto"/>
        </w:rPr>
        <w:t>认为合适的其他内容</w:t>
      </w:r>
      <w:r>
        <w:rPr>
          <w:rFonts w:hint="eastAsia"/>
          <w:color w:val="auto"/>
          <w:lang w:eastAsia="zh-CN"/>
        </w:rPr>
        <w:t>。开启</w:t>
      </w:r>
      <w:r>
        <w:rPr>
          <w:rFonts w:hint="eastAsia"/>
          <w:color w:val="auto"/>
        </w:rPr>
        <w:t>结束后</w:t>
      </w:r>
      <w:r>
        <w:rPr>
          <w:rFonts w:hint="eastAsia"/>
          <w:color w:val="auto"/>
          <w:lang w:eastAsia="zh-CN"/>
        </w:rPr>
        <w:t>，</w:t>
      </w:r>
      <w:r>
        <w:rPr>
          <w:rFonts w:hint="eastAsia"/>
          <w:color w:val="auto"/>
        </w:rPr>
        <w:t>所有被开封唱标的</w:t>
      </w:r>
      <w:r>
        <w:rPr>
          <w:rFonts w:hint="eastAsia"/>
          <w:color w:val="auto"/>
          <w:lang w:eastAsia="zh-CN"/>
        </w:rPr>
        <w:t>响应文件，</w:t>
      </w:r>
      <w:r>
        <w:rPr>
          <w:rFonts w:hint="eastAsia"/>
          <w:color w:val="auto"/>
        </w:rPr>
        <w:t>均提交</w:t>
      </w:r>
      <w:r>
        <w:rPr>
          <w:rFonts w:hint="eastAsia"/>
          <w:color w:val="auto"/>
          <w:lang w:eastAsia="zh-CN"/>
        </w:rPr>
        <w:t>评审委员会</w:t>
      </w:r>
      <w:r>
        <w:rPr>
          <w:rFonts w:hint="eastAsia"/>
          <w:color w:val="auto"/>
        </w:rPr>
        <w:t>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8" w:name="_Toc247085719"/>
      <w:bookmarkStart w:id="159" w:name="_Toc246996205"/>
      <w:bookmarkStart w:id="160" w:name="_Toc296602449"/>
      <w:bookmarkStart w:id="161" w:name="_Toc144974529"/>
      <w:bookmarkStart w:id="162" w:name="_Toc152042337"/>
      <w:bookmarkStart w:id="163" w:name="_Toc152045561"/>
      <w:bookmarkStart w:id="164" w:name="_Toc179632579"/>
      <w:bookmarkStart w:id="165" w:name="_Toc246996948"/>
      <w:r>
        <w:rPr>
          <w:rFonts w:hint="eastAsia"/>
          <w:color w:val="auto"/>
          <w:lang w:val="en-US" w:eastAsia="zh-CN"/>
        </w:rPr>
        <w:t>15.</w:t>
      </w:r>
      <w:r>
        <w:rPr>
          <w:rFonts w:hint="eastAsia"/>
          <w:color w:val="auto"/>
          <w:lang w:eastAsia="zh-CN"/>
        </w:rPr>
        <w:t>开启</w:t>
      </w:r>
      <w:r>
        <w:rPr>
          <w:rFonts w:hint="eastAsia"/>
          <w:color w:val="auto"/>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.2</w:t>
      </w:r>
      <w:r>
        <w:rPr>
          <w:rFonts w:hint="eastAsia"/>
          <w:color w:val="auto"/>
          <w:lang w:val="en-US" w:eastAsia="zh-CN"/>
        </w:rPr>
        <w:t>评审委员会</w:t>
      </w:r>
      <w:r>
        <w:rPr>
          <w:rFonts w:hint="default" w:eastAsiaTheme="minorEastAsia"/>
          <w:color w:val="auto"/>
          <w:lang w:val="en-US" w:eastAsia="zh-CN"/>
        </w:rPr>
        <w:t>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）供应商</w:t>
      </w:r>
      <w:r>
        <w:rPr>
          <w:rFonts w:hint="default" w:eastAsiaTheme="minorEastAsia"/>
          <w:color w:val="auto"/>
          <w:lang w:val="en-US" w:eastAsia="zh-CN"/>
        </w:rPr>
        <w:t>或</w:t>
      </w:r>
      <w:r>
        <w:rPr>
          <w:rFonts w:hint="eastAsia"/>
          <w:color w:val="auto"/>
          <w:lang w:val="en-US" w:eastAsia="zh-CN"/>
        </w:rPr>
        <w:t>供应商</w:t>
      </w:r>
      <w:r>
        <w:rPr>
          <w:rFonts w:hint="default" w:eastAsiaTheme="minorEastAsia"/>
          <w:color w:val="auto"/>
          <w:lang w:val="en-US" w:eastAsia="zh-CN"/>
        </w:rPr>
        <w:t>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有经济利益关系</w:t>
      </w:r>
      <w:r>
        <w:rPr>
          <w:rFonts w:hint="eastAsia"/>
          <w:color w:val="auto"/>
          <w:lang w:val="en-US" w:eastAsia="zh-CN"/>
        </w:rPr>
        <w:t>，</w:t>
      </w:r>
      <w:r>
        <w:rPr>
          <w:rFonts w:hint="default" w:eastAsiaTheme="minorEastAsia"/>
          <w:color w:val="auto"/>
          <w:lang w:val="en-US" w:eastAsia="zh-CN"/>
        </w:rPr>
        <w:t>可能影响对</w:t>
      </w:r>
      <w:r>
        <w:rPr>
          <w:rFonts w:hint="eastAsia"/>
          <w:color w:val="auto"/>
          <w:lang w:val="en-US" w:eastAsia="zh-CN"/>
        </w:rPr>
        <w:t>响应</w:t>
      </w:r>
      <w:r>
        <w:rPr>
          <w:rFonts w:hint="default" w:eastAsiaTheme="minorEastAsia"/>
          <w:color w:val="auto"/>
          <w:lang w:val="en-US" w:eastAsia="zh-CN"/>
        </w:rPr>
        <w:t>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w:t>
      </w:r>
      <w:r>
        <w:rPr>
          <w:rFonts w:hint="eastAsia"/>
          <w:color w:val="auto"/>
          <w:lang w:val="en-US" w:eastAsia="zh-CN"/>
        </w:rPr>
        <w:t>询比</w:t>
      </w:r>
      <w:r>
        <w:rPr>
          <w:rFonts w:hint="default" w:eastAsiaTheme="minorEastAsia"/>
          <w:color w:val="auto"/>
          <w:lang w:val="en-US" w:eastAsia="zh-CN"/>
        </w:rPr>
        <w:t>、</w:t>
      </w:r>
      <w:r>
        <w:rPr>
          <w:rFonts w:hint="eastAsia"/>
          <w:color w:val="auto"/>
          <w:lang w:val="en-US" w:eastAsia="zh-CN"/>
        </w:rPr>
        <w:t>评审</w:t>
      </w:r>
      <w:r>
        <w:rPr>
          <w:rFonts w:hint="default" w:eastAsiaTheme="minorEastAsia"/>
          <w:color w:val="auto"/>
          <w:lang w:val="en-US" w:eastAsia="zh-CN"/>
        </w:rPr>
        <w:t>以及其他与</w:t>
      </w:r>
      <w:r>
        <w:rPr>
          <w:rFonts w:hint="eastAsia"/>
          <w:color w:val="auto"/>
          <w:lang w:val="en-US" w:eastAsia="zh-CN"/>
        </w:rPr>
        <w:t>采购响应</w:t>
      </w:r>
      <w:r>
        <w:rPr>
          <w:rFonts w:hint="default" w:eastAsiaTheme="minorEastAsia"/>
          <w:color w:val="auto"/>
          <w:lang w:val="en-US" w:eastAsia="zh-CN"/>
        </w:rPr>
        <w:t>有关活动中从事违法行为而受过</w:t>
      </w:r>
      <w:r>
        <w:rPr>
          <w:rFonts w:hint="eastAsia"/>
          <w:color w:val="auto"/>
          <w:lang w:val="en-US" w:eastAsia="zh-CN"/>
        </w:rPr>
        <w:t>行政</w:t>
      </w:r>
      <w:r>
        <w:rPr>
          <w:rFonts w:hint="default" w:eastAsiaTheme="minorEastAsia"/>
          <w:color w:val="auto"/>
          <w:lang w:val="en-US" w:eastAsia="zh-CN"/>
        </w:rPr>
        <w:t>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.3</w:t>
      </w:r>
      <w:r>
        <w:rPr>
          <w:rFonts w:hint="eastAsia"/>
          <w:color w:val="auto"/>
          <w:lang w:val="en-US" w:eastAsia="zh-CN"/>
        </w:rPr>
        <w:t>评审</w:t>
      </w:r>
      <w:r>
        <w:rPr>
          <w:rFonts w:hint="default" w:eastAsiaTheme="minorEastAsia"/>
          <w:color w:val="auto"/>
          <w:lang w:val="en-US" w:eastAsia="zh-CN"/>
        </w:rPr>
        <w:t>过程中</w:t>
      </w:r>
      <w:r>
        <w:rPr>
          <w:rFonts w:hint="eastAsia"/>
          <w:color w:val="auto"/>
          <w:lang w:val="en-US" w:eastAsia="zh-CN"/>
        </w:rPr>
        <w:t>，评审委员会</w:t>
      </w:r>
      <w:r>
        <w:rPr>
          <w:rFonts w:hint="default" w:eastAsiaTheme="minorEastAsia"/>
          <w:color w:val="auto"/>
          <w:lang w:val="en-US" w:eastAsia="zh-CN"/>
        </w:rPr>
        <w:t>成员有回避事由、擅离职守或者因健康等原因不能继续</w:t>
      </w:r>
      <w:r>
        <w:rPr>
          <w:rFonts w:hint="eastAsia"/>
          <w:color w:val="auto"/>
          <w:lang w:val="en-US" w:eastAsia="zh-CN"/>
        </w:rPr>
        <w:t>评审</w:t>
      </w:r>
      <w:r>
        <w:rPr>
          <w:rFonts w:hint="default" w:eastAsiaTheme="minorEastAsia"/>
          <w:color w:val="auto"/>
          <w:lang w:val="en-US" w:eastAsia="zh-CN"/>
        </w:rPr>
        <w:t>的</w:t>
      </w:r>
      <w:r>
        <w:rPr>
          <w:rFonts w:hint="eastAsia"/>
          <w:color w:val="auto"/>
          <w:lang w:val="en-US" w:eastAsia="zh-CN"/>
        </w:rPr>
        <w:t>，采购人</w:t>
      </w:r>
      <w:r>
        <w:rPr>
          <w:rFonts w:hint="default" w:eastAsiaTheme="minorEastAsia"/>
          <w:color w:val="auto"/>
          <w:lang w:val="en-US" w:eastAsia="zh-CN"/>
        </w:rPr>
        <w:t>有权更换</w:t>
      </w:r>
      <w:r>
        <w:rPr>
          <w:rFonts w:hint="eastAsia"/>
          <w:color w:val="auto"/>
          <w:lang w:val="en-US" w:eastAsia="zh-CN"/>
        </w:rPr>
        <w:t>。</w:t>
      </w:r>
      <w:r>
        <w:rPr>
          <w:rFonts w:hint="default" w:eastAsiaTheme="minorEastAsia"/>
          <w:color w:val="auto"/>
          <w:lang w:val="en-US" w:eastAsia="zh-CN"/>
        </w:rPr>
        <w:t>被更换的</w:t>
      </w:r>
      <w:r>
        <w:rPr>
          <w:rFonts w:hint="eastAsia"/>
          <w:color w:val="auto"/>
          <w:lang w:val="en-US" w:eastAsia="zh-CN"/>
        </w:rPr>
        <w:t>评审委员会</w:t>
      </w:r>
      <w:r>
        <w:rPr>
          <w:rFonts w:hint="default" w:eastAsiaTheme="minorEastAsia"/>
          <w:color w:val="auto"/>
          <w:lang w:val="en-US" w:eastAsia="zh-CN"/>
        </w:rPr>
        <w:t>成员作出的评审结论无效</w:t>
      </w:r>
      <w:r>
        <w:rPr>
          <w:rFonts w:hint="eastAsia"/>
          <w:color w:val="auto"/>
          <w:lang w:val="en-US" w:eastAsia="zh-CN"/>
        </w:rPr>
        <w:t>，</w:t>
      </w:r>
      <w:r>
        <w:rPr>
          <w:rFonts w:hint="default" w:eastAsiaTheme="minorEastAsia"/>
          <w:color w:val="auto"/>
          <w:lang w:val="en-US" w:eastAsia="zh-CN"/>
        </w:rPr>
        <w:t>更换后的</w:t>
      </w:r>
      <w:r>
        <w:rPr>
          <w:rFonts w:hint="eastAsia"/>
          <w:color w:val="auto"/>
          <w:lang w:val="en-US" w:eastAsia="zh-CN"/>
        </w:rPr>
        <w:t>评审委员会</w:t>
      </w:r>
      <w:r>
        <w:rPr>
          <w:rFonts w:hint="default" w:eastAsiaTheme="minorEastAsia"/>
          <w:color w:val="auto"/>
          <w:lang w:val="en-US" w:eastAsia="zh-CN"/>
        </w:rPr>
        <w:t>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.4</w:t>
      </w:r>
      <w:r>
        <w:rPr>
          <w:rFonts w:hint="eastAsia"/>
          <w:color w:val="auto"/>
          <w:lang w:val="en-US" w:eastAsia="zh-CN"/>
        </w:rPr>
        <w:t>评审委员会</w:t>
      </w:r>
      <w:r>
        <w:rPr>
          <w:rFonts w:hint="default" w:eastAsiaTheme="minorEastAsia"/>
          <w:color w:val="auto"/>
          <w:lang w:val="en-US" w:eastAsia="zh-CN"/>
        </w:rPr>
        <w:t>对</w:t>
      </w:r>
      <w:r>
        <w:rPr>
          <w:rFonts w:hint="eastAsia"/>
          <w:color w:val="auto"/>
          <w:lang w:val="en-US" w:eastAsia="zh-CN"/>
        </w:rPr>
        <w:t>响应文件</w:t>
      </w:r>
      <w:r>
        <w:rPr>
          <w:rFonts w:hint="default" w:eastAsiaTheme="minorEastAsia"/>
          <w:color w:val="auto"/>
          <w:lang w:val="en-US" w:eastAsia="zh-CN"/>
        </w:rPr>
        <w:t>响应性的判定基于</w:t>
      </w:r>
      <w:r>
        <w:rPr>
          <w:rFonts w:hint="eastAsia"/>
          <w:color w:val="auto"/>
          <w:lang w:val="en-US" w:eastAsia="zh-CN"/>
        </w:rPr>
        <w:t>响应文件</w:t>
      </w:r>
      <w:r>
        <w:rPr>
          <w:rFonts w:hint="default" w:eastAsiaTheme="minorEastAsia"/>
          <w:color w:val="auto"/>
          <w:lang w:val="en-US" w:eastAsia="zh-CN"/>
        </w:rPr>
        <w:t>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w:t>
      </w:r>
      <w:r>
        <w:rPr>
          <w:rFonts w:hint="eastAsia"/>
          <w:color w:val="auto"/>
          <w:lang w:val="en-US" w:eastAsia="zh-CN"/>
        </w:rPr>
        <w:t>供应商开启</w:t>
      </w:r>
      <w:r>
        <w:rPr>
          <w:rFonts w:hint="default" w:eastAsiaTheme="minorEastAsia"/>
          <w:color w:val="auto"/>
          <w:lang w:val="en-US" w:eastAsia="zh-CN"/>
        </w:rPr>
        <w:t>时携带了材料的原件</w:t>
      </w:r>
      <w:r>
        <w:rPr>
          <w:rFonts w:hint="eastAsia"/>
          <w:color w:val="auto"/>
          <w:lang w:val="en-US" w:eastAsia="zh-CN"/>
        </w:rPr>
        <w:t>，</w:t>
      </w:r>
      <w:r>
        <w:rPr>
          <w:rFonts w:hint="default" w:eastAsiaTheme="minorEastAsia"/>
          <w:color w:val="auto"/>
          <w:lang w:val="en-US" w:eastAsia="zh-CN"/>
        </w:rPr>
        <w:t>但在</w:t>
      </w:r>
      <w:r>
        <w:rPr>
          <w:rFonts w:hint="eastAsia"/>
          <w:color w:val="auto"/>
          <w:lang w:val="en-US" w:eastAsia="zh-CN"/>
        </w:rPr>
        <w:t>响应文件中</w:t>
      </w:r>
      <w:r>
        <w:rPr>
          <w:rFonts w:hint="default" w:eastAsiaTheme="minorEastAsia"/>
          <w:color w:val="auto"/>
          <w:lang w:val="en-US" w:eastAsia="zh-CN"/>
        </w:rPr>
        <w:t>未提供与之内容完全一致的复制件的</w:t>
      </w:r>
      <w:r>
        <w:rPr>
          <w:rFonts w:hint="eastAsia"/>
          <w:color w:val="auto"/>
          <w:lang w:val="en-US" w:eastAsia="zh-CN"/>
        </w:rPr>
        <w:t>，评审委员会</w:t>
      </w:r>
      <w:r>
        <w:rPr>
          <w:rFonts w:hint="default" w:eastAsiaTheme="minorEastAsia"/>
          <w:color w:val="auto"/>
          <w:lang w:val="en-US" w:eastAsia="zh-CN"/>
        </w:rPr>
        <w:t>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.5如果</w:t>
      </w:r>
      <w:r>
        <w:rPr>
          <w:rFonts w:hint="eastAsia"/>
          <w:color w:val="auto"/>
          <w:lang w:val="en-US" w:eastAsia="zh-CN"/>
        </w:rPr>
        <w:t>响应</w:t>
      </w:r>
      <w:r>
        <w:rPr>
          <w:rFonts w:hint="default" w:eastAsiaTheme="minorEastAsia"/>
          <w:color w:val="auto"/>
          <w:lang w:val="en-US" w:eastAsia="zh-CN"/>
        </w:rPr>
        <w:t>没有实质性响应</w:t>
      </w:r>
      <w:r>
        <w:rPr>
          <w:rFonts w:hint="eastAsia"/>
          <w:color w:val="auto"/>
          <w:lang w:val="en-US" w:eastAsia="zh-CN"/>
        </w:rPr>
        <w:t>询比</w:t>
      </w:r>
      <w:r>
        <w:rPr>
          <w:rFonts w:hint="default" w:eastAsiaTheme="minorEastAsia"/>
          <w:color w:val="auto"/>
          <w:lang w:val="en-US" w:eastAsia="zh-CN"/>
        </w:rPr>
        <w:t>文件的要求</w:t>
      </w:r>
      <w:r>
        <w:rPr>
          <w:rFonts w:hint="eastAsia"/>
          <w:color w:val="auto"/>
          <w:lang w:val="en-US" w:eastAsia="zh-CN"/>
        </w:rPr>
        <w:t>，</w:t>
      </w:r>
      <w:r>
        <w:rPr>
          <w:rFonts w:hint="default" w:eastAsiaTheme="minorEastAsia"/>
          <w:color w:val="auto"/>
          <w:lang w:val="en-US" w:eastAsia="zh-CN"/>
        </w:rPr>
        <w:t>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。供应商</w:t>
      </w:r>
      <w:r>
        <w:rPr>
          <w:rFonts w:hint="default" w:eastAsiaTheme="minorEastAsia"/>
          <w:color w:val="auto"/>
          <w:lang w:val="en-US" w:eastAsia="zh-CN"/>
        </w:rPr>
        <w:t>不</w:t>
      </w:r>
      <w:r>
        <w:rPr>
          <w:rFonts w:hint="eastAsia"/>
          <w:color w:val="auto"/>
          <w:lang w:val="en-US" w:eastAsia="zh-CN"/>
        </w:rPr>
        <w:t>得</w:t>
      </w:r>
      <w:r>
        <w:rPr>
          <w:rFonts w:hint="default" w:eastAsiaTheme="minorEastAsia"/>
          <w:color w:val="auto"/>
          <w:lang w:val="en-US" w:eastAsia="zh-CN"/>
        </w:rPr>
        <w:t>通过修正或撤销</w:t>
      </w:r>
      <w:r>
        <w:rPr>
          <w:rFonts w:hint="eastAsia"/>
          <w:color w:val="auto"/>
          <w:lang w:val="en-US" w:eastAsia="zh-CN"/>
        </w:rPr>
        <w:t>不符</w:t>
      </w:r>
      <w:r>
        <w:rPr>
          <w:rFonts w:hint="default" w:eastAsiaTheme="minorEastAsia"/>
          <w:color w:val="auto"/>
          <w:lang w:val="en-US" w:eastAsia="zh-CN"/>
        </w:rPr>
        <w:t>合要求的偏离或保留从而使其</w:t>
      </w:r>
      <w:r>
        <w:rPr>
          <w:rFonts w:hint="eastAsia"/>
          <w:color w:val="auto"/>
          <w:lang w:val="en-US" w:eastAsia="zh-CN"/>
        </w:rPr>
        <w:t>响应</w:t>
      </w:r>
      <w:r>
        <w:rPr>
          <w:rFonts w:hint="default" w:eastAsiaTheme="minorEastAsia"/>
          <w:color w:val="auto"/>
          <w:lang w:val="en-US" w:eastAsia="zh-CN"/>
        </w:rPr>
        <w:t>成为实质性响应的</w:t>
      </w:r>
      <w:r>
        <w:rPr>
          <w:rFonts w:hint="eastAsia"/>
          <w:color w:val="auto"/>
          <w:lang w:val="en-US" w:eastAsia="zh-CN"/>
        </w:rPr>
        <w:t>响应。</w:t>
      </w:r>
      <w:r>
        <w:rPr>
          <w:rFonts w:hint="default" w:eastAsiaTheme="minorEastAsia"/>
          <w:color w:val="auto"/>
          <w:lang w:val="en-US" w:eastAsia="zh-CN"/>
        </w:rPr>
        <w:t>如有下列情形之一的，其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lang w:eastAsia="zh-CN"/>
        </w:rPr>
        <w:t>响应文件</w:t>
      </w:r>
      <w:r>
        <w:rPr>
          <w:rFonts w:hint="eastAsia"/>
          <w:color w:val="auto"/>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16</w:t>
      </w:r>
      <w:r>
        <w:rPr>
          <w:rFonts w:hint="eastAsia"/>
          <w:color w:val="auto"/>
        </w:rPr>
        <w:t>.1对于</w:t>
      </w:r>
      <w:r>
        <w:rPr>
          <w:rFonts w:hint="eastAsia"/>
          <w:color w:val="auto"/>
          <w:lang w:eastAsia="zh-CN"/>
        </w:rPr>
        <w:t>响应文件</w:t>
      </w:r>
      <w:r>
        <w:rPr>
          <w:rFonts w:hint="eastAsia"/>
          <w:color w:val="auto"/>
        </w:rPr>
        <w:t>中含义不明确、同类问题表述不一致或者有明显文字和计算错误的内容</w:t>
      </w:r>
      <w:r>
        <w:rPr>
          <w:rFonts w:hint="eastAsia"/>
          <w:color w:val="auto"/>
          <w:lang w:eastAsia="zh-CN"/>
        </w:rPr>
        <w:t>，评审委员会</w:t>
      </w:r>
      <w:r>
        <w:rPr>
          <w:rFonts w:hint="eastAsia"/>
          <w:color w:val="auto"/>
        </w:rPr>
        <w:t>应当以书面形式要求</w:t>
      </w:r>
      <w:r>
        <w:rPr>
          <w:rFonts w:hint="eastAsia"/>
          <w:color w:val="auto"/>
          <w:lang w:eastAsia="zh-CN"/>
        </w:rPr>
        <w:t>供应商</w:t>
      </w:r>
      <w:r>
        <w:rPr>
          <w:rFonts w:hint="eastAsia"/>
          <w:color w:val="auto"/>
        </w:rPr>
        <w:t>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16</w:t>
      </w:r>
      <w:r>
        <w:rPr>
          <w:rFonts w:hint="eastAsia"/>
          <w:color w:val="auto"/>
        </w:rPr>
        <w:t>.2</w:t>
      </w:r>
      <w:r>
        <w:rPr>
          <w:rFonts w:hint="eastAsia"/>
          <w:color w:val="auto"/>
          <w:lang w:eastAsia="zh-CN"/>
        </w:rPr>
        <w:t>供应商</w:t>
      </w:r>
      <w:r>
        <w:rPr>
          <w:rFonts w:hint="eastAsia"/>
          <w:color w:val="auto"/>
        </w:rPr>
        <w:t>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。供应商</w:t>
      </w:r>
      <w:r>
        <w:rPr>
          <w:rFonts w:hint="eastAsia"/>
          <w:color w:val="auto"/>
        </w:rPr>
        <w:t>的澄清、说明或者补正不得超出</w:t>
      </w:r>
      <w:r>
        <w:rPr>
          <w:rFonts w:hint="eastAsia"/>
          <w:color w:val="auto"/>
          <w:lang w:eastAsia="zh-CN"/>
        </w:rPr>
        <w:t>响应文件</w:t>
      </w:r>
      <w:r>
        <w:rPr>
          <w:rFonts w:hint="eastAsia"/>
          <w:color w:val="auto"/>
        </w:rPr>
        <w:t>的范围或者改变</w:t>
      </w:r>
      <w:r>
        <w:rPr>
          <w:rFonts w:hint="eastAsia"/>
          <w:color w:val="auto"/>
          <w:lang w:eastAsia="zh-CN"/>
        </w:rPr>
        <w:t>响应文件</w:t>
      </w:r>
      <w:r>
        <w:rPr>
          <w:rFonts w:hint="eastAsia"/>
          <w:color w:val="auto"/>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66" w:name="_Toc144974531"/>
      <w:bookmarkStart w:id="167" w:name="_Toc152042339"/>
      <w:bookmarkStart w:id="168" w:name="_Toc246996950"/>
      <w:bookmarkStart w:id="169" w:name="_Toc179632581"/>
      <w:bookmarkStart w:id="170" w:name="_Toc246996207"/>
      <w:bookmarkStart w:id="171" w:name="_Toc296602452"/>
      <w:bookmarkStart w:id="172" w:name="_Toc152045563"/>
      <w:bookmarkStart w:id="173" w:name="_Toc247085721"/>
      <w:r>
        <w:rPr>
          <w:rFonts w:hint="eastAsia"/>
          <w:color w:val="auto"/>
          <w:lang w:val="en-US" w:eastAsia="zh-CN"/>
        </w:rPr>
        <w:t>17.</w:t>
      </w:r>
      <w:bookmarkEnd w:id="166"/>
      <w:bookmarkEnd w:id="167"/>
      <w:bookmarkEnd w:id="168"/>
      <w:bookmarkEnd w:id="169"/>
      <w:bookmarkEnd w:id="170"/>
      <w:bookmarkEnd w:id="171"/>
      <w:bookmarkEnd w:id="172"/>
      <w:bookmarkEnd w:id="173"/>
      <w:r>
        <w:rPr>
          <w:rFonts w:hint="eastAsia"/>
          <w:color w:val="auto"/>
          <w:lang w:eastAsia="zh-CN"/>
        </w:rPr>
        <w:t>响应文件</w:t>
      </w:r>
      <w:r>
        <w:rPr>
          <w:rFonts w:hint="eastAsia"/>
          <w:color w:val="auto"/>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.1在初步评审中</w:t>
      </w:r>
      <w:r>
        <w:rPr>
          <w:rFonts w:hint="eastAsia"/>
          <w:color w:val="auto"/>
          <w:lang w:eastAsia="zh-CN"/>
        </w:rPr>
        <w:t>，</w:t>
      </w:r>
      <w:r>
        <w:rPr>
          <w:rFonts w:hint="eastAsia"/>
          <w:color w:val="auto"/>
        </w:rPr>
        <w:t>若</w:t>
      </w:r>
      <w:r>
        <w:rPr>
          <w:rFonts w:hint="eastAsia"/>
          <w:color w:val="auto"/>
          <w:lang w:eastAsia="zh-CN"/>
        </w:rPr>
        <w:t>评审委员会</w:t>
      </w:r>
      <w:r>
        <w:rPr>
          <w:rFonts w:hint="eastAsia"/>
          <w:color w:val="auto"/>
        </w:rPr>
        <w:t>成员对同一</w:t>
      </w:r>
      <w:r>
        <w:rPr>
          <w:rFonts w:hint="eastAsia"/>
          <w:color w:val="auto"/>
          <w:lang w:eastAsia="zh-CN"/>
        </w:rPr>
        <w:t>供应商</w:t>
      </w:r>
      <w:r>
        <w:rPr>
          <w:rFonts w:hint="eastAsia"/>
          <w:color w:val="auto"/>
        </w:rPr>
        <w:t>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。评审委员会</w:t>
      </w:r>
      <w:r>
        <w:rPr>
          <w:rFonts w:hint="eastAsia"/>
          <w:color w:val="auto"/>
        </w:rPr>
        <w:t>只对通过初步评审的</w:t>
      </w:r>
      <w:r>
        <w:rPr>
          <w:rFonts w:hint="eastAsia"/>
          <w:color w:val="auto"/>
          <w:lang w:eastAsia="zh-CN"/>
        </w:rPr>
        <w:t>响应文件</w:t>
      </w:r>
      <w:r>
        <w:rPr>
          <w:rFonts w:hint="eastAsia"/>
          <w:color w:val="auto"/>
        </w:rPr>
        <w:t>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rPr>
        <w:t>.2</w:t>
      </w:r>
      <w:r>
        <w:rPr>
          <w:rFonts w:hint="eastAsia"/>
          <w:color w:val="auto"/>
          <w:lang w:eastAsia="zh-CN"/>
        </w:rPr>
        <w:t>供应商</w:t>
      </w:r>
      <w:r>
        <w:rPr>
          <w:rFonts w:hint="eastAsia"/>
          <w:color w:val="auto"/>
          <w:lang w:val="en-US" w:eastAsia="zh-CN"/>
        </w:rPr>
        <w:t>响应</w:t>
      </w:r>
      <w:r>
        <w:rPr>
          <w:rFonts w:hint="eastAsia"/>
          <w:color w:val="auto"/>
        </w:rPr>
        <w:t>报价修正</w:t>
      </w:r>
      <w:r>
        <w:rPr>
          <w:rFonts w:hint="eastAsia"/>
          <w:color w:val="auto"/>
          <w:lang w:eastAsia="zh-CN"/>
        </w:rPr>
        <w:t>。</w:t>
      </w:r>
      <w:r>
        <w:rPr>
          <w:rFonts w:hint="eastAsia"/>
          <w:color w:val="auto"/>
        </w:rPr>
        <w:t>由</w:t>
      </w:r>
      <w:r>
        <w:rPr>
          <w:rFonts w:hint="eastAsia"/>
          <w:color w:val="auto"/>
          <w:lang w:eastAsia="zh-CN"/>
        </w:rPr>
        <w:t>评审委员会</w:t>
      </w:r>
      <w:r>
        <w:rPr>
          <w:rFonts w:hint="eastAsia"/>
          <w:color w:val="auto"/>
        </w:rPr>
        <w:t>根据</w:t>
      </w:r>
      <w:r>
        <w:rPr>
          <w:rFonts w:hint="eastAsia"/>
          <w:color w:val="auto"/>
          <w:lang w:eastAsia="zh-CN"/>
        </w:rPr>
        <w:t>询比</w:t>
      </w:r>
      <w:r>
        <w:rPr>
          <w:rFonts w:hint="eastAsia"/>
          <w:color w:val="auto"/>
        </w:rPr>
        <w:t>文件的要求，以</w:t>
      </w:r>
      <w:r>
        <w:rPr>
          <w:rFonts w:hint="eastAsia"/>
          <w:color w:val="auto"/>
          <w:lang w:eastAsia="zh-CN"/>
        </w:rPr>
        <w:t>询比</w:t>
      </w:r>
      <w:r>
        <w:rPr>
          <w:rFonts w:hint="eastAsia"/>
          <w:color w:val="auto"/>
        </w:rPr>
        <w:t>文件规定的</w:t>
      </w:r>
      <w:r>
        <w:rPr>
          <w:rFonts w:hint="eastAsia"/>
          <w:color w:val="auto"/>
          <w:lang w:val="en-US" w:eastAsia="zh-CN"/>
        </w:rPr>
        <w:t>询比</w:t>
      </w:r>
      <w:r>
        <w:rPr>
          <w:rFonts w:hint="eastAsia"/>
          <w:color w:val="auto"/>
        </w:rPr>
        <w:t>范围为基准</w:t>
      </w:r>
      <w:r>
        <w:rPr>
          <w:rFonts w:hint="eastAsia"/>
          <w:color w:val="auto"/>
          <w:lang w:eastAsia="zh-CN"/>
        </w:rPr>
        <w:t>，</w:t>
      </w:r>
      <w:r>
        <w:rPr>
          <w:rFonts w:hint="eastAsia"/>
          <w:color w:val="auto"/>
        </w:rPr>
        <w:t>对各</w:t>
      </w:r>
      <w:r>
        <w:rPr>
          <w:rFonts w:hint="eastAsia"/>
          <w:color w:val="auto"/>
          <w:lang w:eastAsia="zh-CN"/>
        </w:rPr>
        <w:t>供应商</w:t>
      </w:r>
      <w:r>
        <w:rPr>
          <w:rFonts w:hint="eastAsia"/>
          <w:color w:val="auto"/>
        </w:rPr>
        <w:t>的报价内容和范围进行核定</w:t>
      </w:r>
      <w:r>
        <w:rPr>
          <w:rFonts w:hint="eastAsia"/>
          <w:color w:val="auto"/>
          <w:lang w:eastAsia="zh-CN"/>
        </w:rPr>
        <w:t>，</w:t>
      </w:r>
      <w:r>
        <w:rPr>
          <w:rFonts w:hint="eastAsia"/>
          <w:color w:val="auto"/>
        </w:rPr>
        <w:t>以确定其</w:t>
      </w:r>
      <w:r>
        <w:rPr>
          <w:rFonts w:hint="eastAsia"/>
          <w:color w:val="auto"/>
          <w:lang w:eastAsia="zh-CN"/>
        </w:rPr>
        <w:t>报价</w:t>
      </w:r>
      <w:r>
        <w:rPr>
          <w:rFonts w:hint="eastAsia"/>
          <w:color w:val="auto"/>
        </w:rPr>
        <w:t>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供应商缺报、漏报项的，</w:t>
      </w:r>
      <w:r>
        <w:rPr>
          <w:rFonts w:hint="eastAsia"/>
          <w:color w:val="auto"/>
        </w:rPr>
        <w:t>将以其他</w:t>
      </w:r>
      <w:r>
        <w:rPr>
          <w:rFonts w:hint="eastAsia"/>
          <w:color w:val="auto"/>
          <w:lang w:eastAsia="zh-CN"/>
        </w:rPr>
        <w:t>供应商</w:t>
      </w:r>
      <w:r>
        <w:rPr>
          <w:rFonts w:hint="eastAsia"/>
          <w:color w:val="auto"/>
        </w:rPr>
        <w:t>所报该项目的最高价增加该</w:t>
      </w:r>
      <w:r>
        <w:rPr>
          <w:rFonts w:hint="eastAsia"/>
          <w:color w:val="auto"/>
          <w:lang w:eastAsia="zh-CN"/>
        </w:rPr>
        <w:t>供应商</w:t>
      </w:r>
      <w:r>
        <w:rPr>
          <w:rFonts w:hint="eastAsia"/>
          <w:color w:val="auto"/>
        </w:rPr>
        <w:t>的</w:t>
      </w:r>
      <w:r>
        <w:rPr>
          <w:rFonts w:hint="eastAsia"/>
          <w:color w:val="auto"/>
          <w:lang w:val="en-US" w:eastAsia="zh-CN"/>
        </w:rPr>
        <w:t>评审价。该评审</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评审</w:t>
      </w:r>
      <w:r>
        <w:rPr>
          <w:rFonts w:hint="eastAsia"/>
          <w:color w:val="auto"/>
        </w:rPr>
        <w:t>比较之用，</w:t>
      </w:r>
      <w:r>
        <w:rPr>
          <w:rFonts w:hint="eastAsia"/>
          <w:color w:val="auto"/>
          <w:lang w:eastAsia="zh-CN"/>
        </w:rPr>
        <w:t>供应商</w:t>
      </w:r>
      <w:r>
        <w:rPr>
          <w:rFonts w:hint="eastAsia"/>
          <w:color w:val="auto"/>
        </w:rPr>
        <w:t>的</w:t>
      </w:r>
      <w:r>
        <w:rPr>
          <w:rFonts w:hint="eastAsia"/>
          <w:color w:val="auto"/>
          <w:lang w:eastAsia="zh-CN"/>
        </w:rPr>
        <w:t>响应</w:t>
      </w:r>
      <w:r>
        <w:rPr>
          <w:rFonts w:hint="eastAsia"/>
          <w:color w:val="auto"/>
        </w:rPr>
        <w:t>价仍然不变</w:t>
      </w:r>
      <w:r>
        <w:rPr>
          <w:rFonts w:hint="eastAsia"/>
          <w:color w:val="auto"/>
          <w:lang w:eastAsia="zh-CN"/>
        </w:rPr>
        <w:t>。</w:t>
      </w:r>
      <w:r>
        <w:rPr>
          <w:rFonts w:hint="eastAsia"/>
          <w:color w:val="auto"/>
        </w:rPr>
        <w:t>若</w:t>
      </w:r>
      <w:r>
        <w:rPr>
          <w:rFonts w:hint="eastAsia"/>
          <w:color w:val="auto"/>
          <w:lang w:eastAsia="zh-CN"/>
        </w:rPr>
        <w:t>供应商</w:t>
      </w:r>
      <w:r>
        <w:rPr>
          <w:rFonts w:hint="eastAsia"/>
          <w:color w:val="auto"/>
        </w:rPr>
        <w:t>提供了</w:t>
      </w:r>
      <w:r>
        <w:rPr>
          <w:rFonts w:hint="eastAsia"/>
          <w:color w:val="auto"/>
          <w:lang w:val="en-US" w:eastAsia="zh-CN"/>
        </w:rPr>
        <w:t>超过询比文件要求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w:t>
      </w:r>
      <w:r>
        <w:rPr>
          <w:rFonts w:hint="eastAsia"/>
          <w:color w:val="auto"/>
          <w:lang w:eastAsia="zh-CN"/>
        </w:rPr>
        <w:t>报价</w:t>
      </w:r>
      <w:r>
        <w:rPr>
          <w:rFonts w:hint="eastAsia"/>
          <w:color w:val="auto"/>
        </w:rPr>
        <w:t>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lang w:eastAsia="zh-CN"/>
        </w:rPr>
        <w:t>.</w:t>
      </w:r>
      <w:r>
        <w:rPr>
          <w:rFonts w:hint="eastAsia"/>
          <w:color w:val="auto"/>
        </w:rPr>
        <w:t>3</w:t>
      </w:r>
      <w:r>
        <w:rPr>
          <w:rFonts w:hint="eastAsia"/>
          <w:color w:val="auto"/>
          <w:lang w:eastAsia="zh-CN"/>
        </w:rPr>
        <w:t>响应文件</w:t>
      </w:r>
      <w:r>
        <w:rPr>
          <w:rFonts w:hint="eastAsia"/>
          <w:color w:val="auto"/>
        </w:rPr>
        <w:t>报价出现前后不一致的</w:t>
      </w:r>
      <w:r>
        <w:rPr>
          <w:rFonts w:hint="eastAsia"/>
          <w:color w:val="auto"/>
          <w:lang w:eastAsia="zh-CN"/>
        </w:rPr>
        <w:t>，</w:t>
      </w:r>
      <w:r>
        <w:rPr>
          <w:rFonts w:hint="eastAsia"/>
          <w:color w:val="auto"/>
        </w:rPr>
        <w:t>除</w:t>
      </w:r>
      <w:r>
        <w:rPr>
          <w:rFonts w:hint="eastAsia"/>
          <w:color w:val="auto"/>
          <w:lang w:eastAsia="zh-CN"/>
        </w:rPr>
        <w:t>供应商</w:t>
      </w:r>
      <w:r>
        <w:rPr>
          <w:rFonts w:hint="eastAsia"/>
          <w:color w:val="auto"/>
        </w:rPr>
        <w:t>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）响应文件</w:t>
      </w:r>
      <w:r>
        <w:rPr>
          <w:rFonts w:hint="eastAsia"/>
          <w:color w:val="auto"/>
        </w:rPr>
        <w:t>中报价表内容与</w:t>
      </w:r>
      <w:r>
        <w:rPr>
          <w:rFonts w:hint="eastAsia"/>
          <w:color w:val="auto"/>
          <w:lang w:eastAsia="zh-CN"/>
        </w:rPr>
        <w:t>响应文件</w:t>
      </w:r>
      <w:r>
        <w:rPr>
          <w:rFonts w:hint="eastAsia"/>
          <w:color w:val="auto"/>
        </w:rPr>
        <w:t>中相应内容不一致的</w:t>
      </w:r>
      <w:r>
        <w:rPr>
          <w:rFonts w:hint="eastAsia"/>
          <w:color w:val="auto"/>
          <w:lang w:eastAsia="zh-CN"/>
        </w:rPr>
        <w:t>，</w:t>
      </w:r>
      <w:r>
        <w:rPr>
          <w:rFonts w:hint="eastAsia"/>
          <w:color w:val="auto"/>
          <w:lang w:val="en-US" w:eastAsia="zh-CN"/>
        </w:rPr>
        <w:t>以</w:t>
      </w:r>
      <w:r>
        <w:rPr>
          <w:rFonts w:hint="eastAsia"/>
          <w:color w:val="auto"/>
        </w:rPr>
        <w:t>报价表为准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以报价表的总价为准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w:t>
      </w:r>
      <w:r>
        <w:rPr>
          <w:rFonts w:hint="eastAsia"/>
          <w:color w:val="auto"/>
          <w:lang w:eastAsia="zh-CN"/>
        </w:rPr>
        <w:t>供应商</w:t>
      </w:r>
      <w:r>
        <w:rPr>
          <w:rFonts w:hint="eastAsia"/>
          <w:color w:val="auto"/>
        </w:rPr>
        <w:t>确认后产生约束力</w:t>
      </w:r>
      <w:r>
        <w:rPr>
          <w:rFonts w:hint="eastAsia"/>
          <w:color w:val="auto"/>
          <w:lang w:eastAsia="zh-CN"/>
        </w:rPr>
        <w:t>，供应商</w:t>
      </w:r>
      <w:r>
        <w:rPr>
          <w:rFonts w:hint="eastAsia"/>
          <w:color w:val="auto"/>
        </w:rPr>
        <w:t>不确认的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.4</w:t>
      </w:r>
      <w:r>
        <w:rPr>
          <w:rFonts w:hint="eastAsia"/>
          <w:color w:val="auto"/>
          <w:lang w:eastAsia="zh-CN"/>
        </w:rPr>
        <w:t>供应商</w:t>
      </w:r>
      <w:r>
        <w:rPr>
          <w:rFonts w:hint="eastAsia"/>
          <w:color w:val="auto"/>
        </w:rPr>
        <w:t>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响应文件</w:t>
      </w:r>
      <w:r>
        <w:rPr>
          <w:rFonts w:hint="eastAsia"/>
          <w:color w:val="auto"/>
        </w:rPr>
        <w:t>提交截止时间后</w:t>
      </w:r>
      <w:r>
        <w:rPr>
          <w:rFonts w:hint="eastAsia"/>
          <w:color w:val="auto"/>
          <w:lang w:eastAsia="zh-CN"/>
        </w:rPr>
        <w:t>供应商</w:t>
      </w:r>
      <w:r>
        <w:rPr>
          <w:rFonts w:hint="eastAsia"/>
          <w:color w:val="auto"/>
        </w:rPr>
        <w:t>不足3家的</w:t>
      </w:r>
      <w:r>
        <w:rPr>
          <w:rFonts w:hint="eastAsia"/>
          <w:color w:val="auto"/>
          <w:lang w:eastAsia="zh-CN"/>
        </w:rPr>
        <w:t>，采购人</w:t>
      </w:r>
      <w:r>
        <w:rPr>
          <w:rFonts w:hint="eastAsia"/>
          <w:color w:val="auto"/>
        </w:rPr>
        <w:t>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w:t>
      </w:r>
      <w:r>
        <w:rPr>
          <w:rFonts w:hint="eastAsia"/>
          <w:color w:val="auto"/>
          <w:lang w:eastAsia="zh-CN"/>
        </w:rPr>
        <w:t>供应商</w:t>
      </w:r>
      <w:r>
        <w:rPr>
          <w:rFonts w:hint="eastAsia"/>
          <w:color w:val="auto"/>
        </w:rPr>
        <w:t>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与</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.1除按</w:t>
      </w:r>
      <w:r>
        <w:rPr>
          <w:rFonts w:hint="eastAsia"/>
          <w:color w:val="auto"/>
          <w:lang w:eastAsia="zh-CN"/>
        </w:rPr>
        <w:t>评审委员会</w:t>
      </w:r>
      <w:r>
        <w:rPr>
          <w:rFonts w:hint="eastAsia"/>
          <w:color w:val="auto"/>
        </w:rPr>
        <w:t>要求的澄清外</w:t>
      </w:r>
      <w:r>
        <w:rPr>
          <w:rFonts w:hint="eastAsia"/>
          <w:color w:val="auto"/>
          <w:lang w:eastAsia="zh-CN"/>
        </w:rPr>
        <w:t>，</w:t>
      </w:r>
      <w:r>
        <w:rPr>
          <w:rFonts w:hint="eastAsia"/>
          <w:color w:val="auto"/>
        </w:rPr>
        <w:t>从</w:t>
      </w:r>
      <w:r>
        <w:rPr>
          <w:rFonts w:hint="eastAsia"/>
          <w:color w:val="auto"/>
          <w:lang w:eastAsia="zh-CN"/>
        </w:rPr>
        <w:t>开启</w:t>
      </w:r>
      <w:r>
        <w:rPr>
          <w:rFonts w:hint="eastAsia"/>
          <w:color w:val="auto"/>
        </w:rPr>
        <w:t>到签署合同期间</w:t>
      </w:r>
      <w:r>
        <w:rPr>
          <w:rFonts w:hint="eastAsia"/>
          <w:color w:val="auto"/>
          <w:lang w:eastAsia="zh-CN"/>
        </w:rPr>
        <w:t>，供应商</w:t>
      </w:r>
      <w:r>
        <w:rPr>
          <w:rFonts w:hint="eastAsia"/>
          <w:color w:val="auto"/>
        </w:rPr>
        <w:t>不得就与其</w:t>
      </w:r>
      <w:r>
        <w:rPr>
          <w:rFonts w:hint="eastAsia"/>
          <w:color w:val="auto"/>
          <w:lang w:eastAsia="zh-CN"/>
        </w:rPr>
        <w:t>响应</w:t>
      </w:r>
      <w:r>
        <w:rPr>
          <w:rFonts w:hint="eastAsia"/>
          <w:color w:val="auto"/>
        </w:rPr>
        <w:t>有关的任何事项与</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.2</w:t>
      </w:r>
      <w:r>
        <w:rPr>
          <w:rFonts w:hint="eastAsia"/>
          <w:color w:val="auto"/>
          <w:lang w:eastAsia="zh-CN"/>
        </w:rPr>
        <w:t>供应商</w:t>
      </w:r>
      <w:r>
        <w:rPr>
          <w:rFonts w:hint="eastAsia"/>
          <w:color w:val="auto"/>
        </w:rPr>
        <w:t>试图对</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的</w:t>
      </w:r>
      <w:r>
        <w:rPr>
          <w:rFonts w:hint="eastAsia"/>
          <w:color w:val="auto"/>
          <w:lang w:eastAsia="zh-CN"/>
        </w:rPr>
        <w:t>评审</w:t>
      </w:r>
      <w:r>
        <w:rPr>
          <w:rFonts w:hint="eastAsia"/>
          <w:color w:val="auto"/>
        </w:rPr>
        <w:t>、确定</w:t>
      </w:r>
      <w:r>
        <w:rPr>
          <w:rFonts w:hint="eastAsia"/>
          <w:color w:val="auto"/>
          <w:lang w:eastAsia="zh-CN"/>
        </w:rPr>
        <w:t>成交人</w:t>
      </w:r>
      <w:r>
        <w:rPr>
          <w:rFonts w:hint="eastAsia"/>
          <w:color w:val="auto"/>
        </w:rPr>
        <w:t>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lang w:val="en-US" w:eastAsia="zh-CN"/>
        </w:rPr>
        <w:t>18</w:t>
      </w:r>
      <w:r>
        <w:rPr>
          <w:rFonts w:hint="eastAsia"/>
          <w:color w:val="auto"/>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.3.1如对</w:t>
      </w:r>
      <w:r>
        <w:rPr>
          <w:rFonts w:hint="eastAsia"/>
          <w:color w:val="auto"/>
          <w:lang w:eastAsia="zh-CN"/>
        </w:rPr>
        <w:t>询比</w:t>
      </w:r>
      <w:r>
        <w:rPr>
          <w:rFonts w:hint="eastAsia"/>
          <w:color w:val="auto"/>
        </w:rPr>
        <w:t>文件内容有异议</w:t>
      </w:r>
      <w:r>
        <w:rPr>
          <w:rFonts w:hint="eastAsia"/>
          <w:color w:val="auto"/>
          <w:lang w:eastAsia="zh-CN"/>
        </w:rPr>
        <w:t>，</w:t>
      </w:r>
      <w:r>
        <w:rPr>
          <w:rFonts w:hint="eastAsia"/>
          <w:color w:val="auto"/>
        </w:rPr>
        <w:t>请在《</w:t>
      </w:r>
      <w:r>
        <w:rPr>
          <w:rFonts w:hint="eastAsia"/>
          <w:color w:val="auto"/>
          <w:lang w:eastAsia="zh-CN"/>
        </w:rPr>
        <w:t>供应商</w:t>
      </w:r>
      <w:r>
        <w:rPr>
          <w:rFonts w:hint="eastAsia"/>
          <w:color w:val="auto"/>
        </w:rPr>
        <w:t>须知》前附表规定的时间前提出</w:t>
      </w:r>
      <w:r>
        <w:rPr>
          <w:rFonts w:hint="eastAsia"/>
          <w:color w:val="auto"/>
          <w:lang w:eastAsia="zh-CN"/>
        </w:rPr>
        <w:t>。采购人</w:t>
      </w:r>
      <w:r>
        <w:rPr>
          <w:rFonts w:hint="eastAsia"/>
          <w:color w:val="auto"/>
        </w:rPr>
        <w:t>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w:t>
      </w:r>
      <w:r>
        <w:rPr>
          <w:rFonts w:hint="eastAsia"/>
          <w:color w:val="auto"/>
        </w:rPr>
        <w:t>.3.2对</w:t>
      </w:r>
      <w:r>
        <w:rPr>
          <w:rFonts w:hint="eastAsia"/>
          <w:color w:val="auto"/>
          <w:lang w:eastAsia="zh-CN"/>
        </w:rPr>
        <w:t>开启</w:t>
      </w:r>
      <w:r>
        <w:rPr>
          <w:rFonts w:hint="eastAsia"/>
          <w:color w:val="auto"/>
        </w:rPr>
        <w:t>环节有异议的</w:t>
      </w:r>
      <w:r>
        <w:rPr>
          <w:rFonts w:hint="eastAsia"/>
          <w:color w:val="auto"/>
          <w:lang w:eastAsia="zh-CN"/>
        </w:rPr>
        <w:t>，供应商</w:t>
      </w:r>
      <w:r>
        <w:rPr>
          <w:rFonts w:hint="eastAsia"/>
          <w:color w:val="auto"/>
        </w:rPr>
        <w:t>须在开</w:t>
      </w:r>
      <w:r>
        <w:rPr>
          <w:rFonts w:hint="eastAsia"/>
          <w:color w:val="auto"/>
          <w:lang w:eastAsia="zh-CN"/>
        </w:rPr>
        <w:t>评审</w:t>
      </w:r>
      <w:r>
        <w:rPr>
          <w:rFonts w:hint="eastAsia"/>
          <w:color w:val="auto"/>
        </w:rPr>
        <w:t>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174" w:name="_Toc152045566"/>
      <w:bookmarkStart w:id="175" w:name="_Toc144974534"/>
      <w:bookmarkStart w:id="176" w:name="_Toc296602455"/>
      <w:bookmarkStart w:id="177" w:name="_Toc246996210"/>
      <w:bookmarkStart w:id="178" w:name="_Toc247085724"/>
      <w:bookmarkStart w:id="179" w:name="_Toc152042342"/>
      <w:bookmarkStart w:id="180" w:name="_Toc179632584"/>
      <w:bookmarkStart w:id="181" w:name="_Toc246996953"/>
      <w:r>
        <w:rPr>
          <w:rFonts w:hint="eastAsia"/>
          <w:color w:val="auto"/>
          <w:lang w:val="en-US" w:eastAsia="zh-CN"/>
        </w:rPr>
        <w:t>六</w:t>
      </w:r>
      <w:r>
        <w:rPr>
          <w:rFonts w:hint="eastAsia"/>
          <w:color w:val="auto"/>
          <w:lang w:eastAsia="zh-CN"/>
        </w:rPr>
        <w:t>、</w:t>
      </w:r>
      <w:bookmarkEnd w:id="174"/>
      <w:bookmarkEnd w:id="175"/>
      <w:bookmarkEnd w:id="176"/>
      <w:bookmarkEnd w:id="177"/>
      <w:bookmarkEnd w:id="178"/>
      <w:bookmarkEnd w:id="179"/>
      <w:bookmarkEnd w:id="180"/>
      <w:bookmarkEnd w:id="181"/>
      <w:r>
        <w:rPr>
          <w:rFonts w:hint="eastAsia"/>
          <w:color w:val="auto"/>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82" w:name="_Toc246996954"/>
      <w:bookmarkStart w:id="183" w:name="_Toc296602456"/>
      <w:bookmarkStart w:id="184" w:name="_Toc152045567"/>
      <w:bookmarkStart w:id="185" w:name="_Toc179632585"/>
      <w:bookmarkStart w:id="186" w:name="_Toc246996211"/>
      <w:bookmarkStart w:id="187" w:name="_Toc144974535"/>
      <w:bookmarkStart w:id="188" w:name="_Toc247085725"/>
      <w:bookmarkStart w:id="189" w:name="_Toc152042343"/>
      <w:r>
        <w:rPr>
          <w:rFonts w:hint="eastAsia"/>
          <w:color w:val="auto"/>
          <w:lang w:val="en-US" w:eastAsia="zh-CN"/>
        </w:rPr>
        <w:t>19.</w:t>
      </w:r>
      <w:bookmarkEnd w:id="182"/>
      <w:bookmarkEnd w:id="183"/>
      <w:bookmarkEnd w:id="184"/>
      <w:bookmarkEnd w:id="185"/>
      <w:bookmarkEnd w:id="186"/>
      <w:bookmarkEnd w:id="187"/>
      <w:bookmarkEnd w:id="188"/>
      <w:bookmarkEnd w:id="189"/>
      <w:r>
        <w:rPr>
          <w:rFonts w:hint="eastAsia"/>
          <w:color w:val="auto"/>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.1</w:t>
      </w:r>
      <w:r>
        <w:rPr>
          <w:rFonts w:hint="eastAsia"/>
          <w:color w:val="auto"/>
          <w:lang w:eastAsia="zh-CN"/>
        </w:rPr>
        <w:t>成交候选人</w:t>
      </w:r>
      <w:r>
        <w:rPr>
          <w:rFonts w:hint="eastAsia"/>
          <w:color w:val="auto"/>
        </w:rPr>
        <w:t>的经营、财务状况发生较大变化或者存在违法行为</w:t>
      </w:r>
      <w:r>
        <w:rPr>
          <w:rFonts w:hint="eastAsia"/>
          <w:color w:val="auto"/>
          <w:lang w:eastAsia="zh-CN"/>
        </w:rPr>
        <w:t>，采购人</w:t>
      </w:r>
      <w:r>
        <w:rPr>
          <w:rFonts w:hint="eastAsia"/>
          <w:color w:val="auto"/>
        </w:rPr>
        <w:t>认为可能影响其履约能力的</w:t>
      </w:r>
      <w:r>
        <w:rPr>
          <w:rFonts w:hint="eastAsia"/>
          <w:color w:val="auto"/>
          <w:lang w:eastAsia="zh-CN"/>
        </w:rPr>
        <w:t>，</w:t>
      </w:r>
      <w:r>
        <w:rPr>
          <w:rFonts w:hint="eastAsia"/>
          <w:color w:val="auto"/>
        </w:rPr>
        <w:t>应当在发出</w:t>
      </w:r>
      <w:r>
        <w:rPr>
          <w:rFonts w:hint="eastAsia"/>
          <w:color w:val="auto"/>
          <w:lang w:eastAsia="zh-CN"/>
        </w:rPr>
        <w:t>成交通知书</w:t>
      </w:r>
      <w:r>
        <w:rPr>
          <w:rFonts w:hint="eastAsia"/>
          <w:color w:val="auto"/>
        </w:rPr>
        <w:t>前由原</w:t>
      </w:r>
      <w:r>
        <w:rPr>
          <w:rFonts w:hint="eastAsia"/>
          <w:color w:val="auto"/>
          <w:lang w:eastAsia="zh-CN"/>
        </w:rPr>
        <w:t>评审委员会</w:t>
      </w:r>
      <w:r>
        <w:rPr>
          <w:rFonts w:hint="eastAsia"/>
          <w:color w:val="auto"/>
        </w:rPr>
        <w:t>按照</w:t>
      </w:r>
      <w:r>
        <w:rPr>
          <w:rFonts w:hint="eastAsia"/>
          <w:color w:val="auto"/>
          <w:lang w:eastAsia="zh-CN"/>
        </w:rPr>
        <w:t>询比</w:t>
      </w:r>
      <w:r>
        <w:rPr>
          <w:rFonts w:hint="eastAsia"/>
          <w:color w:val="auto"/>
        </w:rPr>
        <w:t>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.2如审查第一</w:t>
      </w:r>
      <w:r>
        <w:rPr>
          <w:rFonts w:hint="eastAsia"/>
          <w:color w:val="auto"/>
          <w:lang w:eastAsia="zh-CN"/>
        </w:rPr>
        <w:t>成交候选人</w:t>
      </w:r>
      <w:r>
        <w:rPr>
          <w:rFonts w:hint="eastAsia"/>
          <w:color w:val="auto"/>
        </w:rPr>
        <w:t>不符合</w:t>
      </w:r>
      <w:r>
        <w:rPr>
          <w:rFonts w:hint="eastAsia"/>
          <w:color w:val="auto"/>
          <w:lang w:val="en-US" w:eastAsia="zh-CN"/>
        </w:rPr>
        <w:t>成交</w:t>
      </w:r>
      <w:r>
        <w:rPr>
          <w:rFonts w:hint="eastAsia"/>
          <w:color w:val="auto"/>
        </w:rPr>
        <w:t>条件</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w:t>
      </w:r>
      <w:r>
        <w:rPr>
          <w:rFonts w:hint="eastAsia"/>
          <w:color w:val="auto"/>
          <w:lang w:eastAsia="zh-CN"/>
        </w:rPr>
        <w:t>，</w:t>
      </w:r>
      <w:r>
        <w:rPr>
          <w:rFonts w:hint="eastAsia"/>
          <w:color w:val="auto"/>
        </w:rPr>
        <w:t>重新组织</w:t>
      </w:r>
      <w:r>
        <w:rPr>
          <w:rFonts w:hint="eastAsia"/>
          <w:color w:val="auto"/>
          <w:lang w:eastAsia="zh-CN"/>
        </w:rPr>
        <w:t>询比</w:t>
      </w:r>
      <w:r>
        <w:rPr>
          <w:rFonts w:hint="eastAsia"/>
          <w:color w:val="auto"/>
          <w:lang w:val="en-US" w:eastAsia="zh-CN"/>
        </w:rPr>
        <w:t>活动</w:t>
      </w:r>
      <w:r>
        <w:rPr>
          <w:rFonts w:hint="eastAsia"/>
          <w:color w:val="auto"/>
        </w:rPr>
        <w:t>或者委托</w:t>
      </w:r>
      <w:r>
        <w:rPr>
          <w:rFonts w:hint="eastAsia"/>
          <w:color w:val="auto"/>
          <w:lang w:eastAsia="zh-CN"/>
        </w:rPr>
        <w:t>评审委员会</w:t>
      </w:r>
      <w:r>
        <w:rPr>
          <w:rFonts w:hint="eastAsia"/>
          <w:color w:val="auto"/>
        </w:rPr>
        <w:t>按照排名依次审查确认其他</w:t>
      </w:r>
      <w:r>
        <w:rPr>
          <w:rFonts w:hint="eastAsia"/>
          <w:color w:val="auto"/>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90" w:name="_Toc296602457"/>
      <w:r>
        <w:rPr>
          <w:rFonts w:hint="eastAsia"/>
          <w:color w:val="auto"/>
          <w:lang w:val="en-US" w:eastAsia="zh-CN"/>
        </w:rPr>
        <w:t>20.</w:t>
      </w:r>
      <w:bookmarkEnd w:id="190"/>
      <w:r>
        <w:rPr>
          <w:rFonts w:hint="eastAsia"/>
          <w:color w:val="auto"/>
        </w:rPr>
        <w:t>确定</w:t>
      </w:r>
      <w:r>
        <w:rPr>
          <w:rFonts w:hint="eastAsia"/>
          <w:color w:val="auto"/>
          <w:lang w:eastAsia="zh-CN"/>
        </w:rPr>
        <w:t>成交人</w:t>
      </w:r>
      <w:r>
        <w:rPr>
          <w:rFonts w:hint="eastAsia"/>
          <w:color w:val="auto"/>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评审委员会</w:t>
      </w:r>
      <w:r>
        <w:rPr>
          <w:rFonts w:hint="eastAsia"/>
          <w:color w:val="auto"/>
        </w:rPr>
        <w:t>将根据</w:t>
      </w:r>
      <w:r>
        <w:rPr>
          <w:rFonts w:hint="eastAsia"/>
          <w:color w:val="auto"/>
          <w:lang w:eastAsia="zh-CN"/>
        </w:rPr>
        <w:t>询比</w:t>
      </w:r>
      <w:r>
        <w:rPr>
          <w:rFonts w:hint="eastAsia"/>
          <w:color w:val="auto"/>
        </w:rPr>
        <w:t>文件确定的评分办法及评审标准对所有</w:t>
      </w:r>
      <w:r>
        <w:rPr>
          <w:rFonts w:hint="eastAsia"/>
          <w:color w:val="auto"/>
          <w:lang w:eastAsia="zh-CN"/>
        </w:rPr>
        <w:t>响应文件</w:t>
      </w:r>
      <w:r>
        <w:rPr>
          <w:rFonts w:hint="eastAsia"/>
          <w:color w:val="auto"/>
        </w:rPr>
        <w:t>进行相同程序的评审和比较</w:t>
      </w:r>
      <w:r>
        <w:rPr>
          <w:rFonts w:hint="eastAsia"/>
          <w:color w:val="auto"/>
          <w:lang w:eastAsia="zh-CN"/>
        </w:rPr>
        <w:t>，</w:t>
      </w:r>
      <w:r>
        <w:rPr>
          <w:rFonts w:hint="eastAsia"/>
          <w:color w:val="auto"/>
        </w:rPr>
        <w:t>并根据评审结果推荐1~3名</w:t>
      </w:r>
      <w:r>
        <w:rPr>
          <w:rFonts w:hint="eastAsia"/>
          <w:color w:val="auto"/>
          <w:lang w:eastAsia="zh-CN"/>
        </w:rPr>
        <w:t>成交候选人，</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1" w:name="_Toc296602458"/>
      <w:bookmarkStart w:id="192" w:name="_Toc144974536"/>
      <w:bookmarkStart w:id="193" w:name="_Toc246996212"/>
      <w:bookmarkStart w:id="194" w:name="_Toc152045568"/>
      <w:bookmarkStart w:id="195" w:name="_Toc246996955"/>
      <w:bookmarkStart w:id="196" w:name="_Toc152042344"/>
      <w:bookmarkStart w:id="197" w:name="_Toc247085726"/>
      <w:bookmarkStart w:id="198" w:name="_Toc179632586"/>
      <w:r>
        <w:rPr>
          <w:rFonts w:hint="eastAsia"/>
          <w:color w:val="auto"/>
          <w:lang w:val="en-US" w:eastAsia="zh-CN"/>
        </w:rPr>
        <w:t>21.</w:t>
      </w:r>
      <w:bookmarkEnd w:id="191"/>
      <w:bookmarkEnd w:id="192"/>
      <w:bookmarkEnd w:id="193"/>
      <w:bookmarkEnd w:id="194"/>
      <w:bookmarkEnd w:id="195"/>
      <w:bookmarkEnd w:id="196"/>
      <w:bookmarkEnd w:id="197"/>
      <w:bookmarkEnd w:id="198"/>
      <w:r>
        <w:rPr>
          <w:rFonts w:hint="eastAsia"/>
          <w:color w:val="auto"/>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采购人</w:t>
      </w:r>
      <w:r>
        <w:rPr>
          <w:rFonts w:hint="eastAsia"/>
          <w:color w:val="auto"/>
        </w:rPr>
        <w:t>在</w:t>
      </w:r>
      <w:r>
        <w:rPr>
          <w:rFonts w:hint="eastAsia"/>
          <w:color w:val="auto"/>
          <w:lang w:val="en-US" w:eastAsia="zh-CN"/>
        </w:rPr>
        <w:t>成交</w:t>
      </w:r>
      <w:r>
        <w:rPr>
          <w:rFonts w:hint="eastAsia"/>
          <w:color w:val="auto"/>
        </w:rPr>
        <w:t>通知发出之前的任何时候</w:t>
      </w:r>
      <w:r>
        <w:rPr>
          <w:rFonts w:hint="eastAsia"/>
          <w:color w:val="auto"/>
          <w:lang w:eastAsia="zh-CN"/>
        </w:rPr>
        <w:t>，</w:t>
      </w:r>
      <w:r>
        <w:rPr>
          <w:rFonts w:hint="eastAsia"/>
          <w:color w:val="auto"/>
        </w:rPr>
        <w:t>有取消本次</w:t>
      </w:r>
      <w:r>
        <w:rPr>
          <w:rFonts w:hint="eastAsia"/>
          <w:color w:val="auto"/>
          <w:lang w:eastAsia="zh-CN"/>
        </w:rPr>
        <w:t>询比</w:t>
      </w:r>
      <w:r>
        <w:rPr>
          <w:rFonts w:hint="eastAsia"/>
          <w:color w:val="auto"/>
        </w:rPr>
        <w:t>或宣布</w:t>
      </w:r>
      <w:r>
        <w:rPr>
          <w:rFonts w:hint="eastAsia"/>
          <w:color w:val="auto"/>
          <w:lang w:eastAsia="zh-CN"/>
        </w:rPr>
        <w:t>响应</w:t>
      </w:r>
      <w:r>
        <w:rPr>
          <w:rFonts w:hint="eastAsia"/>
          <w:color w:val="auto"/>
        </w:rPr>
        <w:t>无效或</w:t>
      </w:r>
      <w:r>
        <w:rPr>
          <w:rFonts w:hint="eastAsia"/>
          <w:color w:val="auto"/>
          <w:lang w:val="en-US" w:eastAsia="zh-CN"/>
        </w:rPr>
        <w:t>拒</w:t>
      </w:r>
      <w:r>
        <w:rPr>
          <w:rFonts w:hint="eastAsia"/>
          <w:color w:val="auto"/>
        </w:rPr>
        <w:t>绝所有</w:t>
      </w:r>
      <w:r>
        <w:rPr>
          <w:rFonts w:hint="eastAsia"/>
          <w:color w:val="auto"/>
          <w:lang w:eastAsia="zh-CN"/>
        </w:rPr>
        <w:t>响应</w:t>
      </w:r>
      <w:r>
        <w:rPr>
          <w:rFonts w:hint="eastAsia"/>
          <w:color w:val="auto"/>
        </w:rPr>
        <w:t>的权利</w:t>
      </w:r>
      <w:r>
        <w:rPr>
          <w:rFonts w:hint="eastAsia"/>
          <w:color w:val="auto"/>
          <w:lang w:eastAsia="zh-CN"/>
        </w:rPr>
        <w:t>，</w:t>
      </w:r>
      <w:r>
        <w:rPr>
          <w:rFonts w:hint="eastAsia"/>
          <w:color w:val="auto"/>
        </w:rPr>
        <w:t>对因此而受影响的</w:t>
      </w:r>
      <w:r>
        <w:rPr>
          <w:rFonts w:hint="eastAsia"/>
          <w:color w:val="auto"/>
          <w:lang w:eastAsia="zh-CN"/>
        </w:rPr>
        <w:t>供应商</w:t>
      </w:r>
      <w:r>
        <w:rPr>
          <w:rFonts w:hint="eastAsia"/>
          <w:color w:val="auto"/>
        </w:rPr>
        <w:t>不承担任何责任，也没有义务向受</w:t>
      </w:r>
      <w:r>
        <w:rPr>
          <w:rFonts w:hint="eastAsia"/>
          <w:color w:val="auto"/>
          <w:lang w:val="en-US" w:eastAsia="zh-CN"/>
        </w:rPr>
        <w:t>影</w:t>
      </w:r>
      <w:r>
        <w:rPr>
          <w:rFonts w:hint="eastAsia"/>
          <w:color w:val="auto"/>
        </w:rPr>
        <w:t>响的</w:t>
      </w:r>
      <w:r>
        <w:rPr>
          <w:rFonts w:hint="eastAsia"/>
          <w:color w:val="auto"/>
          <w:lang w:eastAsia="zh-CN"/>
        </w:rPr>
        <w:t>供应商</w:t>
      </w:r>
      <w:r>
        <w:rPr>
          <w:rFonts w:hint="eastAsia"/>
          <w:color w:val="auto"/>
        </w:rPr>
        <w:t>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9" w:name="_Toc144974537"/>
      <w:bookmarkStart w:id="200" w:name="_Toc246996956"/>
      <w:bookmarkStart w:id="201" w:name="_Toc152045569"/>
      <w:bookmarkStart w:id="202" w:name="_Toc247085727"/>
      <w:bookmarkStart w:id="203" w:name="_Toc246996213"/>
      <w:bookmarkStart w:id="204" w:name="_Toc179632587"/>
      <w:bookmarkStart w:id="205" w:name="_Toc296602459"/>
      <w:bookmarkStart w:id="206" w:name="_Toc152042345"/>
      <w:r>
        <w:rPr>
          <w:rFonts w:hint="eastAsia"/>
          <w:color w:val="auto"/>
          <w:lang w:val="en-US" w:eastAsia="zh-CN"/>
        </w:rPr>
        <w:t>22.</w:t>
      </w:r>
      <w:bookmarkEnd w:id="199"/>
      <w:bookmarkEnd w:id="200"/>
      <w:bookmarkEnd w:id="201"/>
      <w:bookmarkEnd w:id="202"/>
      <w:bookmarkEnd w:id="203"/>
      <w:bookmarkEnd w:id="204"/>
      <w:bookmarkEnd w:id="205"/>
      <w:bookmarkEnd w:id="206"/>
      <w:r>
        <w:rPr>
          <w:rFonts w:hint="eastAsia"/>
          <w:color w:val="auto"/>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w:t>
      </w:r>
      <w:r>
        <w:rPr>
          <w:rFonts w:hint="eastAsia"/>
          <w:color w:val="auto"/>
          <w:lang w:eastAsia="zh-CN"/>
        </w:rPr>
        <w:t>响应</w:t>
      </w:r>
      <w:r>
        <w:rPr>
          <w:rFonts w:hint="eastAsia"/>
          <w:color w:val="auto"/>
        </w:rPr>
        <w:t>有效期满之前</w:t>
      </w:r>
      <w:r>
        <w:rPr>
          <w:rFonts w:hint="eastAsia"/>
          <w:color w:val="auto"/>
          <w:lang w:eastAsia="zh-CN"/>
        </w:rPr>
        <w:t>，采购人</w:t>
      </w:r>
      <w:r>
        <w:rPr>
          <w:rFonts w:hint="eastAsia"/>
          <w:color w:val="auto"/>
        </w:rPr>
        <w:t>向</w:t>
      </w:r>
      <w:r>
        <w:rPr>
          <w:rFonts w:hint="eastAsia"/>
          <w:color w:val="auto"/>
          <w:lang w:eastAsia="zh-CN"/>
        </w:rPr>
        <w:t>成交人</w:t>
      </w:r>
      <w:r>
        <w:rPr>
          <w:rFonts w:hint="eastAsia"/>
          <w:color w:val="auto"/>
        </w:rPr>
        <w:t>发出</w:t>
      </w:r>
      <w:r>
        <w:rPr>
          <w:rFonts w:hint="eastAsia"/>
          <w:color w:val="auto"/>
          <w:lang w:eastAsia="zh-CN"/>
        </w:rPr>
        <w:t>成交通知书。成交通知书</w:t>
      </w:r>
      <w:r>
        <w:rPr>
          <w:rFonts w:hint="eastAsia"/>
          <w:color w:val="auto"/>
        </w:rPr>
        <w:t>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207" w:name="_Toc296602461"/>
      <w:r>
        <w:rPr>
          <w:rFonts w:hint="eastAsia"/>
          <w:color w:val="auto"/>
          <w:lang w:val="en-US" w:eastAsia="zh-CN"/>
        </w:rPr>
        <w:t>七、</w:t>
      </w:r>
      <w:bookmarkEnd w:id="207"/>
      <w:r>
        <w:rPr>
          <w:rFonts w:hint="eastAsia"/>
          <w:color w:val="auto"/>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208" w:name="_Toc247085733"/>
      <w:bookmarkStart w:id="209" w:name="_Toc152045575"/>
      <w:bookmarkStart w:id="210" w:name="_Toc144974543"/>
      <w:bookmarkStart w:id="211" w:name="_Toc179632593"/>
      <w:bookmarkStart w:id="212" w:name="_Toc246996962"/>
      <w:bookmarkStart w:id="213" w:name="_Toc246996219"/>
      <w:bookmarkStart w:id="214" w:name="_Toc152042351"/>
      <w:bookmarkStart w:id="215" w:name="_Toc296602462"/>
      <w:bookmarkStart w:id="216" w:name="_Toc296590983"/>
      <w:r>
        <w:rPr>
          <w:rFonts w:hint="eastAsia"/>
          <w:color w:val="auto"/>
          <w:lang w:val="en-US" w:eastAsia="zh-CN"/>
        </w:rPr>
        <w:t>23.</w:t>
      </w:r>
      <w:bookmarkEnd w:id="208"/>
      <w:bookmarkEnd w:id="209"/>
      <w:bookmarkEnd w:id="210"/>
      <w:bookmarkEnd w:id="211"/>
      <w:bookmarkEnd w:id="212"/>
      <w:bookmarkEnd w:id="213"/>
      <w:bookmarkEnd w:id="214"/>
      <w:bookmarkEnd w:id="215"/>
      <w:bookmarkEnd w:id="216"/>
      <w:r>
        <w:rPr>
          <w:rFonts w:hint="eastAsia"/>
          <w:color w:val="auto"/>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.1</w:t>
      </w:r>
      <w:r>
        <w:rPr>
          <w:rFonts w:hint="eastAsia"/>
          <w:color w:val="auto"/>
          <w:lang w:eastAsia="zh-CN"/>
        </w:rPr>
        <w:t>成交人</w:t>
      </w:r>
      <w:r>
        <w:rPr>
          <w:rFonts w:hint="eastAsia"/>
          <w:color w:val="auto"/>
        </w:rPr>
        <w:t>应按法律法规及</w:t>
      </w:r>
      <w:r>
        <w:rPr>
          <w:rFonts w:hint="eastAsia"/>
          <w:color w:val="auto"/>
          <w:lang w:eastAsia="zh-CN"/>
        </w:rPr>
        <w:t>询比</w:t>
      </w:r>
      <w:r>
        <w:rPr>
          <w:rFonts w:hint="eastAsia"/>
          <w:color w:val="auto"/>
        </w:rPr>
        <w:t>文件规定的时间与</w:t>
      </w:r>
      <w:r>
        <w:rPr>
          <w:rFonts w:hint="eastAsia"/>
          <w:color w:val="auto"/>
          <w:lang w:eastAsia="zh-CN"/>
        </w:rPr>
        <w:t>采购人</w:t>
      </w:r>
      <w:r>
        <w:rPr>
          <w:rFonts w:hint="eastAsia"/>
          <w:color w:val="auto"/>
        </w:rPr>
        <w:t>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.2采购双方必须严格按照</w:t>
      </w:r>
      <w:r>
        <w:rPr>
          <w:rFonts w:hint="eastAsia"/>
          <w:color w:val="auto"/>
          <w:lang w:eastAsia="zh-CN"/>
        </w:rPr>
        <w:t>询比</w:t>
      </w:r>
      <w:r>
        <w:rPr>
          <w:rFonts w:hint="eastAsia"/>
          <w:color w:val="auto"/>
        </w:rPr>
        <w:t>文件、</w:t>
      </w:r>
      <w:r>
        <w:rPr>
          <w:rFonts w:hint="eastAsia"/>
          <w:color w:val="auto"/>
          <w:lang w:eastAsia="zh-CN"/>
        </w:rPr>
        <w:t>响应文件</w:t>
      </w:r>
      <w:r>
        <w:rPr>
          <w:rFonts w:hint="eastAsia"/>
          <w:color w:val="auto"/>
        </w:rPr>
        <w:t>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w:t>
      </w:r>
      <w:r>
        <w:rPr>
          <w:rFonts w:hint="eastAsia"/>
          <w:color w:val="auto"/>
          <w:lang w:eastAsia="zh-CN"/>
        </w:rPr>
        <w:t>询比</w:t>
      </w:r>
      <w:r>
        <w:rPr>
          <w:rFonts w:hint="eastAsia"/>
          <w:color w:val="auto"/>
        </w:rPr>
        <w:t>文件和</w:t>
      </w:r>
      <w:r>
        <w:rPr>
          <w:rFonts w:hint="eastAsia"/>
          <w:color w:val="auto"/>
          <w:lang w:eastAsia="zh-CN"/>
        </w:rPr>
        <w:t>成交人</w:t>
      </w:r>
      <w:r>
        <w:rPr>
          <w:rFonts w:hint="eastAsia"/>
          <w:color w:val="auto"/>
        </w:rPr>
        <w:t>的</w:t>
      </w:r>
      <w:r>
        <w:rPr>
          <w:rFonts w:hint="eastAsia"/>
          <w:color w:val="auto"/>
          <w:lang w:eastAsia="zh-CN"/>
        </w:rPr>
        <w:t>响应文件</w:t>
      </w:r>
      <w:r>
        <w:rPr>
          <w:rFonts w:hint="eastAsia"/>
          <w:color w:val="auto"/>
        </w:rPr>
        <w:t>的内容一致</w:t>
      </w:r>
      <w:r>
        <w:rPr>
          <w:rFonts w:hint="eastAsia"/>
          <w:color w:val="auto"/>
          <w:lang w:eastAsia="zh-CN"/>
        </w:rPr>
        <w:t>，采购人</w:t>
      </w:r>
      <w:r>
        <w:rPr>
          <w:rFonts w:hint="eastAsia"/>
          <w:color w:val="auto"/>
        </w:rPr>
        <w:t>和</w:t>
      </w:r>
      <w:r>
        <w:rPr>
          <w:rFonts w:hint="eastAsia"/>
          <w:color w:val="auto"/>
          <w:lang w:eastAsia="zh-CN"/>
        </w:rPr>
        <w:t>成交人</w:t>
      </w:r>
      <w:r>
        <w:rPr>
          <w:rFonts w:hint="eastAsia"/>
          <w:color w:val="auto"/>
        </w:rPr>
        <w:t>不得再行订立背离合同实质性内容的</w:t>
      </w:r>
      <w:r>
        <w:rPr>
          <w:rFonts w:hint="eastAsia"/>
          <w:color w:val="auto"/>
          <w:lang w:eastAsia="zh-CN"/>
        </w:rPr>
        <w:t>其他</w:t>
      </w:r>
      <w:r>
        <w:rPr>
          <w:rFonts w:hint="eastAsia"/>
          <w:color w:val="auto"/>
        </w:rPr>
        <w:t>协议</w:t>
      </w:r>
      <w:r>
        <w:rPr>
          <w:rFonts w:hint="eastAsia"/>
          <w:color w:val="auto"/>
          <w:lang w:eastAsia="zh-CN"/>
        </w:rPr>
        <w:t>。</w:t>
      </w:r>
      <w:r>
        <w:rPr>
          <w:rFonts w:hint="eastAsia"/>
          <w:color w:val="auto"/>
        </w:rPr>
        <w:t>对任何因双方擅自变更合同实质性内容引起的问题，由双方通过其他</w:t>
      </w:r>
      <w:r>
        <w:rPr>
          <w:rFonts w:hint="eastAsia"/>
          <w:color w:val="auto"/>
          <w:lang w:eastAsia="zh-CN"/>
        </w:rPr>
        <w:t>法律</w:t>
      </w:r>
      <w:r>
        <w:rPr>
          <w:rFonts w:hint="eastAsia"/>
          <w:color w:val="auto"/>
        </w:rPr>
        <w:t>途径解决</w:t>
      </w:r>
      <w:r>
        <w:rPr>
          <w:rFonts w:hint="eastAsia"/>
          <w:color w:val="auto"/>
          <w:lang w:eastAsia="zh-CN"/>
        </w:rPr>
        <w:t>，采购平台</w:t>
      </w:r>
      <w:r>
        <w:rPr>
          <w:rFonts w:hint="eastAsia"/>
          <w:color w:val="auto"/>
        </w:rPr>
        <w:t>对此不承担责任，合同风险由双方自行承担</w:t>
      </w:r>
      <w:r>
        <w:rPr>
          <w:rFonts w:hint="eastAsia"/>
          <w:color w:val="auto"/>
          <w:lang w:eastAsia="zh-CN"/>
        </w:rPr>
        <w:t>。</w:t>
      </w:r>
    </w:p>
    <w:p w14:paraId="70794AD4">
      <w:pPr>
        <w:pStyle w:val="3"/>
        <w:bidi w:val="0"/>
        <w:rPr>
          <w:rFonts w:hint="eastAsia" w:eastAsia="黑体"/>
          <w:color w:val="auto"/>
          <w:lang w:eastAsia="zh-CN"/>
        </w:rPr>
      </w:pPr>
      <w:bookmarkStart w:id="217" w:name="_Toc152042352"/>
      <w:bookmarkStart w:id="218" w:name="_Toc246996220"/>
      <w:bookmarkStart w:id="219" w:name="_Toc246996963"/>
      <w:bookmarkStart w:id="220" w:name="_Toc152045576"/>
      <w:bookmarkStart w:id="221" w:name="_Toc247085734"/>
      <w:bookmarkStart w:id="222" w:name="_Toc296602463"/>
      <w:bookmarkStart w:id="223" w:name="_Toc144974544"/>
      <w:bookmarkStart w:id="224" w:name="_Toc179632594"/>
      <w:r>
        <w:rPr>
          <w:rFonts w:hint="eastAsia"/>
          <w:color w:val="auto"/>
          <w:lang w:val="en-US" w:eastAsia="zh-CN"/>
        </w:rPr>
        <w:t>24.</w:t>
      </w:r>
      <w:bookmarkEnd w:id="217"/>
      <w:bookmarkEnd w:id="218"/>
      <w:bookmarkEnd w:id="219"/>
      <w:bookmarkEnd w:id="220"/>
      <w:bookmarkEnd w:id="221"/>
      <w:bookmarkEnd w:id="222"/>
      <w:bookmarkEnd w:id="223"/>
      <w:bookmarkEnd w:id="224"/>
      <w:r>
        <w:rPr>
          <w:rFonts w:hint="eastAsia"/>
          <w:color w:val="auto"/>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.1</w:t>
      </w:r>
      <w:r>
        <w:rPr>
          <w:rFonts w:hint="eastAsia"/>
          <w:color w:val="auto"/>
          <w:lang w:eastAsia="zh-CN"/>
        </w:rPr>
        <w:t>成交人</w:t>
      </w:r>
      <w:r>
        <w:rPr>
          <w:rFonts w:hint="eastAsia"/>
          <w:color w:val="auto"/>
        </w:rPr>
        <w:t>须按照</w:t>
      </w:r>
      <w:r>
        <w:rPr>
          <w:rFonts w:hint="eastAsia"/>
          <w:color w:val="auto"/>
          <w:lang w:eastAsia="zh-CN"/>
        </w:rPr>
        <w:t>供应商</w:t>
      </w:r>
      <w:r>
        <w:rPr>
          <w:rFonts w:hint="eastAsia"/>
          <w:color w:val="auto"/>
        </w:rPr>
        <w:t>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.2</w:t>
      </w:r>
      <w:r>
        <w:rPr>
          <w:rFonts w:hint="eastAsia"/>
          <w:color w:val="auto"/>
          <w:lang w:eastAsia="zh-CN"/>
        </w:rPr>
        <w:t>采购人</w:t>
      </w:r>
      <w:r>
        <w:rPr>
          <w:rFonts w:hint="eastAsia"/>
          <w:color w:val="auto"/>
        </w:rPr>
        <w:t>与</w:t>
      </w:r>
      <w:r>
        <w:rPr>
          <w:rFonts w:hint="eastAsia"/>
          <w:color w:val="auto"/>
          <w:lang w:eastAsia="zh-CN"/>
        </w:rPr>
        <w:t>成交人</w:t>
      </w:r>
      <w:r>
        <w:rPr>
          <w:rFonts w:hint="eastAsia"/>
          <w:color w:val="auto"/>
        </w:rPr>
        <w:t>签订书面合同后</w:t>
      </w:r>
      <w:r>
        <w:rPr>
          <w:rFonts w:hint="eastAsia"/>
          <w:color w:val="auto"/>
          <w:lang w:eastAsia="zh-CN"/>
        </w:rPr>
        <w:t>，采购平台</w:t>
      </w:r>
      <w:r>
        <w:rPr>
          <w:rFonts w:hint="eastAsia"/>
          <w:color w:val="auto"/>
        </w:rPr>
        <w:t>将通知所有未</w:t>
      </w:r>
      <w:r>
        <w:rPr>
          <w:rFonts w:hint="eastAsia"/>
          <w:color w:val="auto"/>
          <w:lang w:val="en-US" w:eastAsia="zh-CN"/>
        </w:rPr>
        <w:t>成交</w:t>
      </w:r>
      <w:r>
        <w:rPr>
          <w:rFonts w:hint="eastAsia"/>
          <w:color w:val="auto"/>
        </w:rPr>
        <w:t>的</w:t>
      </w:r>
      <w:r>
        <w:rPr>
          <w:rFonts w:hint="eastAsia"/>
          <w:color w:val="auto"/>
          <w:lang w:val="en-US" w:eastAsia="zh-CN"/>
        </w:rPr>
        <w:t>供应商</w:t>
      </w:r>
      <w:r>
        <w:rPr>
          <w:rFonts w:hint="eastAsia"/>
          <w:color w:val="auto"/>
        </w:rPr>
        <w:t>，并退还其</w:t>
      </w:r>
      <w:r>
        <w:rPr>
          <w:rFonts w:hint="eastAsia"/>
          <w:color w:val="auto"/>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.3如果</w:t>
      </w:r>
      <w:r>
        <w:rPr>
          <w:rFonts w:hint="eastAsia"/>
          <w:color w:val="auto"/>
          <w:lang w:eastAsia="zh-CN"/>
        </w:rPr>
        <w:t>成交人</w:t>
      </w:r>
      <w:r>
        <w:rPr>
          <w:rFonts w:hint="eastAsia"/>
          <w:color w:val="auto"/>
        </w:rPr>
        <w:t>没有遵守本章 2</w:t>
      </w:r>
      <w:r>
        <w:rPr>
          <w:rFonts w:hint="eastAsia"/>
          <w:color w:val="auto"/>
          <w:lang w:val="en-US" w:eastAsia="zh-CN"/>
        </w:rPr>
        <w:t>3</w:t>
      </w:r>
      <w:r>
        <w:rPr>
          <w:rFonts w:hint="eastAsia"/>
          <w:color w:val="auto"/>
        </w:rPr>
        <w:t>.1、2</w:t>
      </w:r>
      <w:r>
        <w:rPr>
          <w:rFonts w:hint="eastAsia"/>
          <w:color w:val="auto"/>
          <w:lang w:val="en-US" w:eastAsia="zh-CN"/>
        </w:rPr>
        <w:t>4</w:t>
      </w:r>
      <w:r>
        <w:rPr>
          <w:rFonts w:hint="eastAsia"/>
          <w:color w:val="auto"/>
        </w:rPr>
        <w:t>.1的规定</w:t>
      </w:r>
      <w:r>
        <w:rPr>
          <w:rFonts w:hint="eastAsia"/>
          <w:color w:val="auto"/>
          <w:lang w:eastAsia="zh-CN"/>
        </w:rPr>
        <w:t>，</w:t>
      </w:r>
      <w:r>
        <w:rPr>
          <w:rFonts w:hint="eastAsia"/>
          <w:color w:val="auto"/>
        </w:rPr>
        <w:t>或出现</w:t>
      </w:r>
      <w:r>
        <w:rPr>
          <w:rFonts w:hint="eastAsia"/>
          <w:color w:val="auto"/>
          <w:lang w:val="en-US" w:eastAsia="zh-CN"/>
        </w:rPr>
        <w:t>法律法规规定的</w:t>
      </w:r>
      <w:r>
        <w:rPr>
          <w:rFonts w:hint="eastAsia"/>
          <w:color w:val="auto"/>
        </w:rPr>
        <w:t>其他不符合</w:t>
      </w:r>
      <w:r>
        <w:rPr>
          <w:rFonts w:hint="eastAsia"/>
          <w:color w:val="auto"/>
          <w:lang w:val="en-US" w:eastAsia="zh-CN"/>
        </w:rPr>
        <w:t>成交</w:t>
      </w:r>
      <w:r>
        <w:rPr>
          <w:rFonts w:hint="eastAsia"/>
          <w:color w:val="auto"/>
        </w:rPr>
        <w:t>条件的情形的</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资格、不予</w:t>
      </w:r>
      <w:r>
        <w:rPr>
          <w:rFonts w:hint="eastAsia"/>
          <w:color w:val="auto"/>
          <w:lang w:val="en-US" w:eastAsia="zh-CN"/>
        </w:rPr>
        <w:t>退</w:t>
      </w:r>
      <w:r>
        <w:rPr>
          <w:rFonts w:hint="eastAsia"/>
          <w:color w:val="auto"/>
        </w:rPr>
        <w:t>还其提交的</w:t>
      </w:r>
      <w:r>
        <w:rPr>
          <w:rFonts w:hint="eastAsia"/>
          <w:color w:val="auto"/>
          <w:lang w:eastAsia="zh-CN"/>
        </w:rPr>
        <w:t>响应担保。</w:t>
      </w:r>
      <w:r>
        <w:rPr>
          <w:rFonts w:hint="eastAsia"/>
          <w:color w:val="auto"/>
        </w:rPr>
        <w:t>在此情况下</w:t>
      </w:r>
      <w:r>
        <w:rPr>
          <w:rFonts w:hint="eastAsia"/>
          <w:color w:val="auto"/>
          <w:lang w:eastAsia="zh-CN"/>
        </w:rPr>
        <w:t>，采购人</w:t>
      </w:r>
      <w:r>
        <w:rPr>
          <w:rFonts w:hint="eastAsia"/>
          <w:color w:val="auto"/>
        </w:rPr>
        <w:t>可以确定下一个综合排名最高的</w:t>
      </w:r>
      <w:r>
        <w:rPr>
          <w:rFonts w:hint="eastAsia"/>
          <w:color w:val="auto"/>
          <w:lang w:eastAsia="zh-CN"/>
        </w:rPr>
        <w:t>供应商</w:t>
      </w:r>
      <w:r>
        <w:rPr>
          <w:rFonts w:hint="eastAsia"/>
          <w:color w:val="auto"/>
        </w:rPr>
        <w:t>为</w:t>
      </w:r>
      <w:r>
        <w:rPr>
          <w:rFonts w:hint="eastAsia"/>
          <w:color w:val="auto"/>
          <w:lang w:eastAsia="zh-CN"/>
        </w:rPr>
        <w:t>成交人</w:t>
      </w:r>
      <w:r>
        <w:rPr>
          <w:rFonts w:hint="eastAsia"/>
          <w:color w:val="auto"/>
        </w:rPr>
        <w:t>并授予其合同</w:t>
      </w:r>
      <w:r>
        <w:rPr>
          <w:rFonts w:hint="eastAsia"/>
          <w:color w:val="auto"/>
          <w:lang w:eastAsia="zh-CN"/>
        </w:rPr>
        <w:t>，</w:t>
      </w:r>
      <w:r>
        <w:rPr>
          <w:rFonts w:hint="eastAsia"/>
          <w:color w:val="auto"/>
        </w:rPr>
        <w:t>或重新</w:t>
      </w:r>
      <w:r>
        <w:rPr>
          <w:rFonts w:hint="eastAsia"/>
          <w:color w:val="auto"/>
          <w:lang w:val="en-US" w:eastAsia="zh-CN"/>
        </w:rPr>
        <w:t>采购</w:t>
      </w:r>
      <w:r>
        <w:rPr>
          <w:rFonts w:hint="eastAsia"/>
          <w:color w:val="auto"/>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bookmarkStart w:id="225" w:name="_Toc152042353"/>
      <w:bookmarkStart w:id="226" w:name="_Toc144974545"/>
      <w:bookmarkStart w:id="227" w:name="_Toc296602464"/>
      <w:bookmarkStart w:id="228" w:name="_Toc247085735"/>
      <w:bookmarkStart w:id="229" w:name="_Toc246996964"/>
      <w:bookmarkStart w:id="230" w:name="_Toc179632595"/>
      <w:bookmarkStart w:id="231" w:name="_Toc246996221"/>
      <w:bookmarkStart w:id="232" w:name="_Toc152045577"/>
      <w:r>
        <w:rPr>
          <w:rFonts w:hint="eastAsia"/>
          <w:color w:val="auto"/>
          <w:lang w:val="en-US" w:eastAsia="zh-CN"/>
        </w:rPr>
        <w:t>25.</w:t>
      </w:r>
      <w:bookmarkEnd w:id="225"/>
      <w:bookmarkEnd w:id="226"/>
      <w:bookmarkEnd w:id="227"/>
      <w:bookmarkEnd w:id="228"/>
      <w:bookmarkEnd w:id="229"/>
      <w:bookmarkEnd w:id="230"/>
      <w:bookmarkEnd w:id="231"/>
      <w:bookmarkEnd w:id="232"/>
      <w:r>
        <w:rPr>
          <w:rFonts w:hint="eastAsia"/>
          <w:color w:val="auto"/>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本</w:t>
      </w:r>
      <w:r>
        <w:rPr>
          <w:rFonts w:hint="eastAsia"/>
          <w:color w:val="auto"/>
          <w:lang w:eastAsia="zh-CN"/>
        </w:rPr>
        <w:t>询比</w:t>
      </w:r>
      <w:r>
        <w:rPr>
          <w:rFonts w:hint="eastAsia"/>
          <w:color w:val="auto"/>
        </w:rPr>
        <w:t>文件的最终解释权归</w:t>
      </w:r>
      <w:r>
        <w:rPr>
          <w:rFonts w:hint="eastAsia"/>
          <w:color w:val="auto"/>
          <w:lang w:eastAsia="zh-CN"/>
        </w:rPr>
        <w:t>采购人</w:t>
      </w:r>
      <w:r>
        <w:rPr>
          <w:rFonts w:hint="eastAsia"/>
          <w:color w:val="auto"/>
        </w:rPr>
        <w:t>所有</w:t>
      </w:r>
      <w:r>
        <w:rPr>
          <w:rFonts w:hint="eastAsia"/>
          <w:color w:val="auto"/>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lang w:val="en-US" w:eastAsia="zh-CN"/>
        </w:rPr>
      </w:pPr>
      <w:r>
        <w:rPr>
          <w:rFonts w:hint="eastAsia" w:ascii="宋体" w:hAnsi="宋体"/>
          <w:color w:val="auto"/>
          <w:sz w:val="24"/>
          <w:lang w:val="en-US" w:eastAsia="zh-CN"/>
        </w:rPr>
        <w:t>本次评审采用</w:t>
      </w:r>
      <w:permStart w:id="43" w:edGrp="everyone"/>
      <w:r>
        <w:rPr>
          <w:rFonts w:hint="eastAsia" w:ascii="宋体" w:hAnsi="宋体"/>
          <w:color w:val="auto"/>
          <w:sz w:val="24"/>
          <w:lang w:val="en-US" w:eastAsia="zh-CN"/>
        </w:rPr>
        <w:t>综合评估法</w:t>
      </w:r>
      <w:permEnd w:id="43"/>
      <w:r>
        <w:rPr>
          <w:rFonts w:hint="eastAsia" w:ascii="宋体" w:hAnsi="宋体"/>
          <w:color w:val="auto"/>
          <w:sz w:val="24"/>
          <w:lang w:val="en-US" w:eastAsia="zh-CN"/>
        </w:rPr>
        <w:t>，根据项目询比文件要求，实行初审和复审。</w:t>
      </w:r>
    </w:p>
    <w:p w14:paraId="37D98BF8">
      <w:pPr>
        <w:spacing w:line="440" w:lineRule="exact"/>
        <w:rPr>
          <w:rFonts w:hint="eastAsia" w:ascii="宋体" w:hAnsi="宋体"/>
          <w:b/>
          <w:color w:val="auto"/>
          <w:sz w:val="24"/>
        </w:rPr>
      </w:pPr>
    </w:p>
    <w:p w14:paraId="74E42B12">
      <w:pPr>
        <w:spacing w:line="440" w:lineRule="exact"/>
        <w:rPr>
          <w:rFonts w:hint="eastAsia" w:ascii="宋体" w:hAnsi="宋体"/>
          <w:b/>
          <w:color w:val="auto"/>
          <w:sz w:val="24"/>
        </w:rPr>
      </w:pPr>
      <w:r>
        <w:rPr>
          <w:rFonts w:hint="eastAsia" w:ascii="宋体" w:hAnsi="宋体"/>
          <w:b/>
          <w:color w:val="auto"/>
          <w:sz w:val="24"/>
          <w:lang w:eastAsia="zh-CN"/>
        </w:rPr>
        <w:t>评审</w:t>
      </w:r>
      <w:r>
        <w:rPr>
          <w:rFonts w:hint="eastAsia" w:ascii="宋体" w:hAnsi="宋体"/>
          <w:b/>
          <w:color w:val="auto"/>
          <w:sz w:val="24"/>
        </w:rPr>
        <w:t>程序：</w:t>
      </w:r>
    </w:p>
    <w:p w14:paraId="4AAE9718">
      <w:pPr>
        <w:spacing w:line="440" w:lineRule="exact"/>
        <w:ind w:firstLine="480" w:firstLineChars="200"/>
        <w:rPr>
          <w:rFonts w:hint="eastAsia" w:ascii="宋体" w:hAnsi="宋体"/>
          <w:color w:val="auto"/>
          <w:sz w:val="24"/>
        </w:rPr>
      </w:pPr>
      <w:r>
        <w:rPr>
          <w:rFonts w:hint="eastAsia" w:ascii="宋体" w:hAnsi="宋体"/>
          <w:color w:val="auto"/>
          <w:sz w:val="24"/>
        </w:rPr>
        <w:t>（一）项目</w:t>
      </w:r>
      <w:r>
        <w:rPr>
          <w:rFonts w:hint="eastAsia" w:ascii="宋体" w:hAnsi="宋体"/>
          <w:color w:val="auto"/>
          <w:sz w:val="24"/>
          <w:lang w:eastAsia="zh-CN"/>
        </w:rPr>
        <w:t>开启</w:t>
      </w:r>
      <w:r>
        <w:rPr>
          <w:rFonts w:hint="eastAsia" w:ascii="宋体" w:hAnsi="宋体"/>
          <w:color w:val="auto"/>
          <w:sz w:val="24"/>
        </w:rPr>
        <w:t>结束后，评</w:t>
      </w:r>
      <w:r>
        <w:rPr>
          <w:rFonts w:hint="eastAsia" w:ascii="宋体" w:hAnsi="宋体"/>
          <w:color w:val="auto"/>
          <w:sz w:val="24"/>
          <w:lang w:val="en-US" w:eastAsia="zh-CN"/>
        </w:rPr>
        <w:t>审</w:t>
      </w:r>
      <w:r>
        <w:rPr>
          <w:rFonts w:hint="eastAsia" w:ascii="宋体" w:hAnsi="宋体"/>
          <w:color w:val="auto"/>
          <w:sz w:val="24"/>
        </w:rPr>
        <w:t>委员会应当对</w:t>
      </w:r>
      <w:r>
        <w:rPr>
          <w:rFonts w:hint="eastAsia" w:ascii="宋体" w:hAnsi="宋体"/>
          <w:color w:val="auto"/>
          <w:sz w:val="24"/>
          <w:lang w:val="en-US" w:eastAsia="zh-CN"/>
        </w:rPr>
        <w:t>供应商进行资格性和符合性审查，</w:t>
      </w:r>
      <w:r>
        <w:rPr>
          <w:rFonts w:hint="eastAsia" w:ascii="宋体" w:hAnsi="宋体"/>
          <w:color w:val="auto"/>
          <w:sz w:val="24"/>
        </w:rPr>
        <w:t>对出现不符合下列情形之一时，作无效</w:t>
      </w:r>
      <w:r>
        <w:rPr>
          <w:rFonts w:hint="eastAsia" w:ascii="宋体" w:hAnsi="宋体"/>
          <w:color w:val="auto"/>
          <w:sz w:val="24"/>
          <w:lang w:val="en-US" w:eastAsia="zh-CN"/>
        </w:rPr>
        <w:t>响应</w:t>
      </w:r>
      <w:r>
        <w:rPr>
          <w:rFonts w:hint="eastAsia" w:ascii="宋体" w:hAnsi="宋体"/>
          <w:color w:val="auto"/>
          <w:sz w:val="24"/>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rPr>
        <w:t>《</w:t>
      </w:r>
      <w:r>
        <w:rPr>
          <w:rFonts w:hint="eastAsia" w:ascii="宋体" w:hAnsi="宋体"/>
          <w:color w:val="auto"/>
          <w:sz w:val="24"/>
          <w:lang w:val="en-US" w:eastAsia="zh-CN"/>
        </w:rPr>
        <w:t>资格性和</w:t>
      </w:r>
      <w:r>
        <w:rPr>
          <w:rFonts w:hint="eastAsia" w:ascii="宋体" w:hAnsi="宋体"/>
          <w:color w:val="auto"/>
          <w:sz w:val="24"/>
        </w:rPr>
        <w:t>符合性</w:t>
      </w:r>
      <w:r>
        <w:rPr>
          <w:rFonts w:hint="eastAsia" w:ascii="宋体" w:hAnsi="宋体"/>
          <w:color w:val="auto"/>
          <w:sz w:val="24"/>
          <w:lang w:val="en-US" w:eastAsia="zh-CN"/>
        </w:rPr>
        <w:t>审</w:t>
      </w:r>
      <w:r>
        <w:rPr>
          <w:rFonts w:hint="eastAsia" w:ascii="宋体" w:hAnsi="宋体"/>
          <w:color w:val="auto"/>
          <w:sz w:val="24"/>
        </w:rPr>
        <w:t>查表》如下</w:t>
      </w:r>
      <w:r>
        <w:rPr>
          <w:rFonts w:hint="eastAsia" w:ascii="宋体" w:hAnsi="宋体"/>
          <w:color w:val="auto"/>
          <w:sz w:val="24"/>
          <w:lang w:eastAsia="zh-CN"/>
        </w:rPr>
        <w:t>：</w:t>
      </w:r>
    </w:p>
    <w:tbl>
      <w:tblPr>
        <w:tblStyle w:val="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31"/>
        <w:gridCol w:w="1763"/>
        <w:gridCol w:w="6127"/>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1DA0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0713A5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963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CB0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与营业执照、资质证书一致</w:t>
            </w:r>
          </w:p>
        </w:tc>
      </w:tr>
      <w:tr w14:paraId="4442D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76947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2</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C12D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响应文件</w:t>
            </w:r>
          </w:p>
          <w:p w14:paraId="69C832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rPr>
              <w:t>签字盖章</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C728A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E628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25289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0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E203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85B5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69F74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824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1BA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1760F1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661E0D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5F9C97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1C9C782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34A8E7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5AB057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3416C6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23F1666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370" w:type="pct"/>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034" w:type="pct"/>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r>
              <w:rPr>
                <w:rFonts w:hint="eastAsia" w:ascii="宋体" w:hAnsi="宋体"/>
                <w:color w:val="auto"/>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13</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14</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03F60C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w:t>
            </w:r>
          </w:p>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其他内容</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549A1C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u w:val="none"/>
          <w:lang w:val="en-US" w:eastAsia="zh-CN"/>
        </w:rPr>
      </w:pPr>
      <w:bookmarkStart w:id="233" w:name="_Toc246996232"/>
      <w:bookmarkStart w:id="234" w:name="_Toc152042366"/>
      <w:bookmarkStart w:id="235" w:name="_Toc247085747"/>
      <w:bookmarkStart w:id="236" w:name="_Toc179632607"/>
      <w:bookmarkStart w:id="237" w:name="_Toc246996975"/>
      <w:bookmarkStart w:id="238" w:name="_Toc144974556"/>
      <w:bookmarkStart w:id="239" w:name="_Toc296602477"/>
      <w:bookmarkStart w:id="240" w:name="_Toc152045589"/>
      <w:r>
        <w:rPr>
          <w:rFonts w:hint="eastAsia" w:asciiTheme="minorEastAsia" w:hAnsiTheme="minorEastAsia" w:eastAsiaTheme="minorEastAsia" w:cstheme="minorEastAsia"/>
          <w:color w:val="auto"/>
          <w:sz w:val="24"/>
          <w:szCs w:val="24"/>
          <w:u w:val="none"/>
          <w:lang w:val="en-US" w:eastAsia="zh-CN"/>
        </w:rPr>
        <w:t>注：</w:t>
      </w:r>
    </w:p>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u w:val="none"/>
          <w:lang w:val="en-US" w:eastAsia="zh-CN"/>
        </w:rPr>
      </w:pPr>
      <w:r>
        <w:rPr>
          <w:rFonts w:hint="default" w:asciiTheme="minorEastAsia" w:hAnsiTheme="minorEastAsia" w:eastAsiaTheme="minorEastAsia" w:cstheme="minorEastAsia"/>
          <w:color w:val="auto"/>
          <w:sz w:val="24"/>
          <w:szCs w:val="24"/>
          <w:u w:val="none"/>
          <w:lang w:val="en-US" w:eastAsia="zh-CN"/>
        </w:rPr>
        <w:t>2</w:t>
      </w:r>
      <w:r>
        <w:rPr>
          <w:rFonts w:hint="eastAsia" w:asciiTheme="minorEastAsia" w:hAnsiTheme="minorEastAsia" w:cstheme="minorEastAsia"/>
          <w:color w:val="auto"/>
          <w:sz w:val="24"/>
          <w:szCs w:val="24"/>
          <w:u w:val="none"/>
          <w:lang w:val="en-US" w:eastAsia="zh-CN"/>
        </w:rPr>
        <w:t>.供应商应</w:t>
      </w:r>
      <w:r>
        <w:rPr>
          <w:rFonts w:hint="default" w:asciiTheme="minorEastAsia" w:hAnsiTheme="minorEastAsia" w:eastAsiaTheme="minorEastAsia" w:cstheme="minorEastAsia"/>
          <w:color w:val="auto"/>
          <w:sz w:val="24"/>
          <w:szCs w:val="24"/>
          <w:u w:val="none"/>
          <w:lang w:val="en-US" w:eastAsia="zh-CN"/>
        </w:rPr>
        <w:t>按照</w:t>
      </w:r>
      <w:r>
        <w:rPr>
          <w:rFonts w:hint="eastAsia" w:asciiTheme="minorEastAsia" w:hAnsiTheme="minorEastAsia" w:cstheme="minorEastAsia"/>
          <w:color w:val="auto"/>
          <w:sz w:val="24"/>
          <w:szCs w:val="24"/>
          <w:u w:val="none"/>
          <w:lang w:val="en-US" w:eastAsia="zh-CN"/>
        </w:rPr>
        <w:t>询比</w:t>
      </w:r>
      <w:r>
        <w:rPr>
          <w:rFonts w:hint="default" w:asciiTheme="minorEastAsia" w:hAnsiTheme="minorEastAsia" w:eastAsiaTheme="minorEastAsia" w:cstheme="minorEastAsia"/>
          <w:color w:val="auto"/>
          <w:sz w:val="24"/>
          <w:szCs w:val="24"/>
          <w:u w:val="none"/>
          <w:lang w:val="en-US" w:eastAsia="zh-CN"/>
        </w:rPr>
        <w:t>文件要求进行签字或盖章</w:t>
      </w:r>
      <w:r>
        <w:rPr>
          <w:rFonts w:hint="eastAsia" w:asciiTheme="minorEastAsia" w:hAnsiTheme="minorEastAsia" w:cstheme="minorEastAsia"/>
          <w:color w:val="auto"/>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lang w:val="en-US" w:eastAsia="zh-CN"/>
        </w:rPr>
      </w:pPr>
      <w:r>
        <w:rPr>
          <w:rFonts w:hint="eastAsia" w:ascii="宋体" w:hAnsi="宋体"/>
          <w:color w:val="auto"/>
          <w:sz w:val="24"/>
        </w:rPr>
        <w:t>（</w:t>
      </w:r>
      <w:r>
        <w:rPr>
          <w:rFonts w:hint="eastAsia" w:ascii="宋体" w:hAnsi="宋体"/>
          <w:color w:val="auto"/>
          <w:sz w:val="24"/>
          <w:lang w:val="en-US" w:eastAsia="zh-CN"/>
        </w:rPr>
        <w:t>二</w:t>
      </w:r>
      <w:r>
        <w:rPr>
          <w:rFonts w:hint="eastAsia" w:ascii="宋体" w:hAnsi="宋体"/>
          <w:color w:val="auto"/>
          <w:sz w:val="24"/>
        </w:rPr>
        <w:t>）</w:t>
      </w:r>
      <w:r>
        <w:rPr>
          <w:rFonts w:hint="eastAsia" w:ascii="宋体" w:hAnsi="宋体"/>
          <w:color w:val="auto"/>
          <w:sz w:val="24"/>
          <w:lang w:val="en-US" w:eastAsia="zh-CN"/>
        </w:rPr>
        <w:t>资格性和符合性审查通过后，</w:t>
      </w:r>
      <w:r>
        <w:rPr>
          <w:rFonts w:hint="eastAsia" w:ascii="宋体" w:hAnsi="宋体"/>
          <w:color w:val="auto"/>
          <w:sz w:val="24"/>
        </w:rPr>
        <w:t>评</w:t>
      </w:r>
      <w:r>
        <w:rPr>
          <w:rFonts w:hint="eastAsia" w:ascii="宋体" w:hAnsi="宋体"/>
          <w:color w:val="auto"/>
          <w:sz w:val="24"/>
          <w:lang w:val="en-US" w:eastAsia="zh-CN"/>
        </w:rPr>
        <w:t>审</w:t>
      </w:r>
      <w:r>
        <w:rPr>
          <w:rFonts w:hint="eastAsia" w:ascii="宋体" w:hAnsi="宋体"/>
          <w:color w:val="auto"/>
          <w:sz w:val="24"/>
        </w:rPr>
        <w:t>委员会</w:t>
      </w:r>
      <w:r>
        <w:rPr>
          <w:rFonts w:hint="eastAsia" w:ascii="宋体" w:hAnsi="宋体"/>
          <w:color w:val="auto"/>
          <w:sz w:val="24"/>
          <w:lang w:val="en-US" w:eastAsia="zh-CN"/>
        </w:rPr>
        <w:t>按照以下评审规则确定成交候选人</w:t>
      </w:r>
      <w:r>
        <w:rPr>
          <w:rFonts w:hint="eastAsia" w:ascii="宋体" w:hAnsi="宋体"/>
          <w:color w:val="auto"/>
          <w:sz w:val="24"/>
          <w:highlight w:val="none"/>
          <w:lang w:val="en-US" w:eastAsia="zh-CN"/>
        </w:rPr>
        <w:t>（适用于综合评估价法）。</w:t>
      </w:r>
    </w:p>
    <w:p w14:paraId="0D08C7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《评审规则》如下：</w:t>
      </w:r>
    </w:p>
    <w:p w14:paraId="1A74D8F7">
      <w:pPr>
        <w:spacing w:before="323" w:line="223" w:lineRule="auto"/>
        <w:ind w:left="1718" w:firstLine="970" w:firstLineChars="300"/>
        <w:jc w:val="both"/>
        <w:outlineLvl w:val="0"/>
        <w:rPr>
          <w:rFonts w:ascii="宋体" w:hAnsi="宋体" w:eastAsia="宋体" w:cs="宋体"/>
          <w:color w:val="auto"/>
          <w:sz w:val="31"/>
          <w:szCs w:val="31"/>
        </w:rPr>
      </w:pPr>
      <w:r>
        <w:rPr>
          <w:rFonts w:hint="eastAsia" w:ascii="宋体" w:hAnsi="宋体" w:eastAsia="宋体" w:cs="宋体"/>
          <w:b/>
          <w:bCs/>
          <w:color w:val="auto"/>
          <w:spacing w:val="6"/>
          <w:sz w:val="31"/>
          <w:szCs w:val="31"/>
          <w:lang w:val="en-US" w:eastAsia="zh-CN"/>
        </w:rPr>
        <w:t>综合评估法</w:t>
      </w:r>
      <w:r>
        <w:rPr>
          <w:rFonts w:ascii="宋体" w:hAnsi="宋体" w:eastAsia="宋体" w:cs="宋体"/>
          <w:b/>
          <w:bCs/>
          <w:color w:val="auto"/>
          <w:spacing w:val="6"/>
          <w:sz w:val="31"/>
          <w:szCs w:val="31"/>
        </w:rPr>
        <w:t>评审标准</w:t>
      </w:r>
    </w:p>
    <w:p w14:paraId="260A8568">
      <w:pPr>
        <w:spacing w:line="231" w:lineRule="exact"/>
        <w:rPr>
          <w:color w:val="auto"/>
        </w:rPr>
      </w:pPr>
    </w:p>
    <w:tbl>
      <w:tblPr>
        <w:tblStyle w:val="18"/>
        <w:tblW w:w="85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4"/>
        <w:gridCol w:w="1702"/>
        <w:gridCol w:w="5863"/>
      </w:tblGrid>
      <w:tr w14:paraId="76D8C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964" w:type="dxa"/>
            <w:noWrap w:val="0"/>
            <w:vAlign w:val="top"/>
          </w:tcPr>
          <w:p w14:paraId="1B2EA25B">
            <w:pPr>
              <w:pStyle w:val="17"/>
              <w:spacing w:before="108" w:line="208" w:lineRule="auto"/>
              <w:ind w:left="131"/>
              <w:rPr>
                <w:color w:val="auto"/>
              </w:rPr>
            </w:pPr>
            <w:r>
              <w:rPr>
                <w:b/>
                <w:bCs/>
                <w:color w:val="auto"/>
                <w:spacing w:val="-6"/>
              </w:rPr>
              <w:t>条款号</w:t>
            </w:r>
          </w:p>
        </w:tc>
        <w:tc>
          <w:tcPr>
            <w:tcW w:w="1702" w:type="dxa"/>
            <w:noWrap w:val="0"/>
            <w:vAlign w:val="top"/>
          </w:tcPr>
          <w:p w14:paraId="00CF9B16">
            <w:pPr>
              <w:pStyle w:val="17"/>
              <w:spacing w:before="108" w:line="208" w:lineRule="auto"/>
              <w:ind w:left="377"/>
              <w:rPr>
                <w:color w:val="auto"/>
              </w:rPr>
            </w:pPr>
            <w:r>
              <w:rPr>
                <w:b/>
                <w:bCs/>
                <w:color w:val="auto"/>
                <w:spacing w:val="-5"/>
              </w:rPr>
              <w:t>条款内容</w:t>
            </w:r>
          </w:p>
        </w:tc>
        <w:tc>
          <w:tcPr>
            <w:tcW w:w="5863" w:type="dxa"/>
            <w:noWrap w:val="0"/>
            <w:vAlign w:val="top"/>
          </w:tcPr>
          <w:p w14:paraId="02A83B4A">
            <w:pPr>
              <w:pStyle w:val="17"/>
              <w:spacing w:before="108" w:line="208" w:lineRule="auto"/>
              <w:ind w:left="2460"/>
              <w:rPr>
                <w:color w:val="auto"/>
              </w:rPr>
            </w:pPr>
            <w:r>
              <w:rPr>
                <w:b/>
                <w:bCs/>
                <w:color w:val="auto"/>
                <w:spacing w:val="-5"/>
              </w:rPr>
              <w:t>编列内容</w:t>
            </w:r>
          </w:p>
        </w:tc>
      </w:tr>
      <w:tr w14:paraId="75E020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4" w:hRule="atLeast"/>
        </w:trPr>
        <w:tc>
          <w:tcPr>
            <w:tcW w:w="964" w:type="dxa"/>
            <w:noWrap w:val="0"/>
            <w:vAlign w:val="top"/>
          </w:tcPr>
          <w:p w14:paraId="0AC9F31D">
            <w:pPr>
              <w:spacing w:line="281" w:lineRule="auto"/>
              <w:rPr>
                <w:rFonts w:ascii="Arial"/>
                <w:color w:val="auto"/>
                <w:sz w:val="21"/>
              </w:rPr>
            </w:pPr>
          </w:p>
          <w:p w14:paraId="3F995487">
            <w:pPr>
              <w:spacing w:line="281" w:lineRule="auto"/>
              <w:rPr>
                <w:rFonts w:ascii="Arial"/>
                <w:color w:val="auto"/>
                <w:sz w:val="21"/>
              </w:rPr>
            </w:pPr>
          </w:p>
          <w:p w14:paraId="47114989">
            <w:pPr>
              <w:spacing w:line="281" w:lineRule="auto"/>
              <w:rPr>
                <w:rFonts w:ascii="Arial"/>
                <w:color w:val="auto"/>
                <w:sz w:val="21"/>
              </w:rPr>
            </w:pPr>
          </w:p>
          <w:p w14:paraId="25DBC9A2">
            <w:pPr>
              <w:spacing w:line="282" w:lineRule="auto"/>
              <w:rPr>
                <w:rFonts w:ascii="Arial"/>
                <w:color w:val="auto"/>
                <w:sz w:val="21"/>
              </w:rPr>
            </w:pPr>
          </w:p>
          <w:p w14:paraId="6E9D898E">
            <w:pPr>
              <w:spacing w:line="282" w:lineRule="auto"/>
              <w:rPr>
                <w:rFonts w:ascii="Arial"/>
                <w:color w:val="auto"/>
                <w:sz w:val="21"/>
              </w:rPr>
            </w:pPr>
          </w:p>
          <w:p w14:paraId="637787EE">
            <w:pPr>
              <w:spacing w:before="69" w:line="188" w:lineRule="auto"/>
              <w:ind w:left="245"/>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2.2.1</w:t>
            </w:r>
          </w:p>
        </w:tc>
        <w:tc>
          <w:tcPr>
            <w:tcW w:w="1702" w:type="dxa"/>
            <w:noWrap w:val="0"/>
            <w:vAlign w:val="top"/>
          </w:tcPr>
          <w:p w14:paraId="72372C25">
            <w:pPr>
              <w:spacing w:line="292" w:lineRule="auto"/>
              <w:rPr>
                <w:rFonts w:ascii="Arial"/>
                <w:color w:val="auto"/>
                <w:sz w:val="21"/>
              </w:rPr>
            </w:pPr>
          </w:p>
          <w:p w14:paraId="3182AAAE">
            <w:pPr>
              <w:spacing w:line="293" w:lineRule="auto"/>
              <w:rPr>
                <w:rFonts w:ascii="Arial"/>
                <w:color w:val="auto"/>
                <w:sz w:val="21"/>
              </w:rPr>
            </w:pPr>
          </w:p>
          <w:p w14:paraId="2D07C8F0">
            <w:pPr>
              <w:spacing w:line="293" w:lineRule="auto"/>
              <w:rPr>
                <w:rFonts w:ascii="Arial"/>
                <w:color w:val="auto"/>
                <w:sz w:val="21"/>
              </w:rPr>
            </w:pPr>
          </w:p>
          <w:p w14:paraId="71605B9D">
            <w:pPr>
              <w:spacing w:line="293" w:lineRule="auto"/>
              <w:rPr>
                <w:rFonts w:ascii="Arial"/>
                <w:color w:val="auto"/>
                <w:sz w:val="21"/>
              </w:rPr>
            </w:pPr>
          </w:p>
          <w:p w14:paraId="61354AF7">
            <w:pPr>
              <w:pStyle w:val="17"/>
              <w:spacing w:before="78" w:line="219" w:lineRule="auto"/>
              <w:ind w:left="378"/>
              <w:rPr>
                <w:color w:val="auto"/>
              </w:rPr>
            </w:pPr>
            <w:r>
              <w:rPr>
                <w:color w:val="auto"/>
                <w:spacing w:val="-4"/>
              </w:rPr>
              <w:t>分值构成</w:t>
            </w:r>
          </w:p>
          <w:p w14:paraId="1C194959">
            <w:pPr>
              <w:pStyle w:val="17"/>
              <w:spacing w:before="55" w:line="220" w:lineRule="auto"/>
              <w:ind w:left="26"/>
              <w:rPr>
                <w:color w:val="auto"/>
              </w:rPr>
            </w:pPr>
            <w:r>
              <w:rPr>
                <w:color w:val="auto"/>
                <w:spacing w:val="-8"/>
              </w:rPr>
              <w:t>（总分</w:t>
            </w:r>
            <w:r>
              <w:rPr>
                <w:color w:val="auto"/>
                <w:spacing w:val="-31"/>
              </w:rPr>
              <w:t xml:space="preserve"> </w:t>
            </w:r>
            <w:r>
              <w:rPr>
                <w:rFonts w:ascii="Times New Roman" w:hAnsi="Times New Roman" w:eastAsia="Times New Roman" w:cs="Times New Roman"/>
                <w:color w:val="auto"/>
                <w:spacing w:val="-8"/>
              </w:rPr>
              <w:t>100</w:t>
            </w:r>
            <w:r>
              <w:rPr>
                <w:rFonts w:ascii="Times New Roman" w:hAnsi="Times New Roman" w:eastAsia="Times New Roman" w:cs="Times New Roman"/>
                <w:color w:val="auto"/>
                <w:spacing w:val="13"/>
              </w:rPr>
              <w:t xml:space="preserve"> </w:t>
            </w:r>
            <w:r>
              <w:rPr>
                <w:color w:val="auto"/>
                <w:spacing w:val="-8"/>
              </w:rPr>
              <w:t>分）</w:t>
            </w:r>
          </w:p>
        </w:tc>
        <w:tc>
          <w:tcPr>
            <w:tcW w:w="5863" w:type="dxa"/>
            <w:noWrap w:val="0"/>
            <w:vAlign w:val="top"/>
          </w:tcPr>
          <w:p w14:paraId="34328337">
            <w:pPr>
              <w:pStyle w:val="17"/>
              <w:spacing w:before="66" w:line="219" w:lineRule="auto"/>
              <w:ind w:left="114"/>
              <w:rPr>
                <w:color w:val="auto"/>
              </w:rPr>
            </w:pPr>
            <w:r>
              <w:rPr>
                <w:b/>
                <w:bCs/>
                <w:color w:val="auto"/>
                <w:spacing w:val="-3"/>
              </w:rPr>
              <w:t>技术文件评分分值构成：</w:t>
            </w:r>
          </w:p>
          <w:p w14:paraId="316610D2">
            <w:pPr>
              <w:pStyle w:val="17"/>
              <w:spacing w:before="55" w:line="219" w:lineRule="auto"/>
              <w:ind w:left="114"/>
              <w:rPr>
                <w:color w:val="auto"/>
              </w:rPr>
            </w:pPr>
            <w:r>
              <w:rPr>
                <w:color w:val="auto"/>
              </w:rPr>
              <w:t>技术建议书：</w:t>
            </w:r>
            <w:r>
              <w:rPr>
                <w:rFonts w:ascii="Times New Roman" w:hAnsi="Times New Roman" w:eastAsia="Times New Roman" w:cs="Times New Roman"/>
                <w:color w:val="auto"/>
                <w:u w:val="single" w:color="auto"/>
              </w:rPr>
              <w:t xml:space="preserve">35 </w:t>
            </w:r>
            <w:r>
              <w:rPr>
                <w:color w:val="auto"/>
              </w:rPr>
              <w:t>分</w:t>
            </w:r>
          </w:p>
          <w:p w14:paraId="457EF1BC">
            <w:pPr>
              <w:pStyle w:val="17"/>
              <w:spacing w:before="54" w:line="219" w:lineRule="auto"/>
              <w:ind w:left="118"/>
              <w:rPr>
                <w:color w:val="auto"/>
              </w:rPr>
            </w:pPr>
            <w:r>
              <w:rPr>
                <w:b/>
                <w:bCs/>
                <w:color w:val="auto"/>
                <w:spacing w:val="-3"/>
              </w:rPr>
              <w:t>商务文件评分分值构成：</w:t>
            </w:r>
          </w:p>
          <w:p w14:paraId="04FC53C5">
            <w:pPr>
              <w:pStyle w:val="17"/>
              <w:spacing w:before="55" w:line="220" w:lineRule="auto"/>
              <w:ind w:left="115"/>
              <w:rPr>
                <w:color w:val="auto"/>
              </w:rPr>
            </w:pPr>
            <w:r>
              <w:rPr>
                <w:color w:val="auto"/>
              </w:rPr>
              <w:t>主要人员：</w:t>
            </w:r>
            <w:r>
              <w:rPr>
                <w:rFonts w:ascii="Times New Roman" w:hAnsi="Times New Roman" w:eastAsia="Times New Roman" w:cs="Times New Roman"/>
                <w:color w:val="auto"/>
                <w:u w:val="single" w:color="auto"/>
              </w:rPr>
              <w:t xml:space="preserve">25 </w:t>
            </w:r>
            <w:r>
              <w:rPr>
                <w:color w:val="auto"/>
              </w:rPr>
              <w:t>分</w:t>
            </w:r>
          </w:p>
          <w:p w14:paraId="2DC36C76">
            <w:pPr>
              <w:pStyle w:val="17"/>
              <w:spacing w:before="54" w:line="219" w:lineRule="auto"/>
              <w:ind w:left="118"/>
              <w:rPr>
                <w:b/>
                <w:bCs/>
                <w:color w:val="auto"/>
                <w:spacing w:val="-3"/>
              </w:rPr>
            </w:pPr>
            <w:r>
              <w:rPr>
                <w:rFonts w:hint="eastAsia"/>
                <w:b/>
                <w:bCs/>
                <w:color w:val="auto"/>
                <w:spacing w:val="-3"/>
                <w:lang w:val="en-US" w:eastAsia="zh-CN"/>
              </w:rPr>
              <w:t>资信评分标准：</w:t>
            </w:r>
          </w:p>
          <w:p w14:paraId="4256EA6B">
            <w:pPr>
              <w:pStyle w:val="17"/>
              <w:spacing w:before="54" w:line="220" w:lineRule="auto"/>
              <w:ind w:left="112"/>
              <w:rPr>
                <w:color w:val="auto"/>
              </w:rPr>
            </w:pPr>
            <w:r>
              <w:rPr>
                <w:color w:val="auto"/>
                <w:spacing w:val="-2"/>
              </w:rPr>
              <w:t>业绩：</w:t>
            </w:r>
            <w:r>
              <w:rPr>
                <w:rFonts w:ascii="Times New Roman" w:hAnsi="Times New Roman" w:eastAsia="Times New Roman" w:cs="Times New Roman"/>
                <w:color w:val="auto"/>
                <w:spacing w:val="-2"/>
                <w:u w:val="single" w:color="auto"/>
              </w:rPr>
              <w:t>18</w:t>
            </w:r>
            <w:r>
              <w:rPr>
                <w:rFonts w:ascii="Times New Roman" w:hAnsi="Times New Roman" w:eastAsia="Times New Roman" w:cs="Times New Roman"/>
                <w:color w:val="auto"/>
                <w:spacing w:val="14"/>
                <w:u w:val="single" w:color="auto"/>
              </w:rPr>
              <w:t xml:space="preserve"> </w:t>
            </w:r>
            <w:r>
              <w:rPr>
                <w:color w:val="auto"/>
                <w:spacing w:val="-2"/>
              </w:rPr>
              <w:t>分</w:t>
            </w:r>
          </w:p>
          <w:p w14:paraId="27F1FFC0">
            <w:pPr>
              <w:pStyle w:val="17"/>
              <w:spacing w:before="52" w:line="219" w:lineRule="auto"/>
              <w:ind w:left="117"/>
              <w:rPr>
                <w:color w:val="auto"/>
              </w:rPr>
            </w:pPr>
            <w:r>
              <w:rPr>
                <w:color w:val="auto"/>
                <w:spacing w:val="-1"/>
              </w:rPr>
              <w:t>履约信誉：</w:t>
            </w:r>
            <w:r>
              <w:rPr>
                <w:rFonts w:ascii="Times New Roman" w:hAnsi="Times New Roman" w:eastAsia="Times New Roman" w:cs="Times New Roman"/>
                <w:color w:val="auto"/>
                <w:spacing w:val="-1"/>
                <w:u w:val="single" w:color="auto"/>
              </w:rPr>
              <w:t xml:space="preserve">10 </w:t>
            </w:r>
            <w:r>
              <w:rPr>
                <w:color w:val="auto"/>
                <w:spacing w:val="-1"/>
              </w:rPr>
              <w:t>分</w:t>
            </w:r>
          </w:p>
          <w:p w14:paraId="37FE1426">
            <w:pPr>
              <w:pStyle w:val="17"/>
              <w:spacing w:before="57" w:line="219" w:lineRule="auto"/>
              <w:ind w:left="114"/>
              <w:rPr>
                <w:color w:val="auto"/>
              </w:rPr>
            </w:pPr>
            <w:r>
              <w:rPr>
                <w:color w:val="auto"/>
              </w:rPr>
              <w:t>技术能力：</w:t>
            </w:r>
            <w:r>
              <w:rPr>
                <w:rFonts w:ascii="Times New Roman" w:hAnsi="Times New Roman" w:eastAsia="Times New Roman" w:cs="Times New Roman"/>
                <w:color w:val="auto"/>
                <w:u w:val="single" w:color="auto"/>
              </w:rPr>
              <w:t xml:space="preserve">2 </w:t>
            </w:r>
            <w:r>
              <w:rPr>
                <w:color w:val="auto"/>
              </w:rPr>
              <w:t>分</w:t>
            </w:r>
          </w:p>
          <w:p w14:paraId="61674BBF">
            <w:pPr>
              <w:pStyle w:val="17"/>
              <w:spacing w:before="55" w:line="218" w:lineRule="auto"/>
              <w:ind w:left="111"/>
              <w:rPr>
                <w:color w:val="auto"/>
              </w:rPr>
            </w:pPr>
            <w:r>
              <w:rPr>
                <w:b/>
                <w:bCs/>
                <w:color w:val="auto"/>
                <w:spacing w:val="-3"/>
              </w:rPr>
              <w:t>报价文件评分分值构成：</w:t>
            </w:r>
          </w:p>
          <w:p w14:paraId="6ACF9D5E">
            <w:pPr>
              <w:pStyle w:val="17"/>
              <w:spacing w:before="56" w:line="207" w:lineRule="auto"/>
              <w:ind w:left="116"/>
              <w:rPr>
                <w:color w:val="auto"/>
              </w:rPr>
            </w:pPr>
            <w:r>
              <w:rPr>
                <w:color w:val="auto"/>
                <w:spacing w:val="-1"/>
              </w:rPr>
              <w:t>报价：</w:t>
            </w:r>
            <w:r>
              <w:rPr>
                <w:rFonts w:ascii="Times New Roman" w:hAnsi="Times New Roman" w:eastAsia="Times New Roman" w:cs="Times New Roman"/>
                <w:color w:val="auto"/>
                <w:spacing w:val="-1"/>
                <w:u w:val="single" w:color="auto"/>
              </w:rPr>
              <w:t xml:space="preserve">10 </w:t>
            </w:r>
            <w:r>
              <w:rPr>
                <w:color w:val="auto"/>
                <w:spacing w:val="-1"/>
              </w:rPr>
              <w:t>分</w:t>
            </w:r>
          </w:p>
        </w:tc>
      </w:tr>
      <w:tr w14:paraId="25F28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3" w:hRule="atLeast"/>
        </w:trPr>
        <w:tc>
          <w:tcPr>
            <w:tcW w:w="964" w:type="dxa"/>
            <w:noWrap w:val="0"/>
            <w:vAlign w:val="top"/>
          </w:tcPr>
          <w:p w14:paraId="2E16F2DF">
            <w:pPr>
              <w:spacing w:line="244" w:lineRule="auto"/>
              <w:rPr>
                <w:rFonts w:ascii="Arial"/>
                <w:color w:val="auto"/>
                <w:sz w:val="21"/>
              </w:rPr>
            </w:pPr>
          </w:p>
          <w:p w14:paraId="24E4E7C9">
            <w:pPr>
              <w:spacing w:line="244" w:lineRule="auto"/>
              <w:rPr>
                <w:rFonts w:ascii="Arial"/>
                <w:color w:val="auto"/>
                <w:sz w:val="21"/>
              </w:rPr>
            </w:pPr>
          </w:p>
          <w:p w14:paraId="0DA6334A">
            <w:pPr>
              <w:spacing w:line="244" w:lineRule="auto"/>
              <w:rPr>
                <w:rFonts w:ascii="Arial"/>
                <w:color w:val="auto"/>
                <w:sz w:val="21"/>
              </w:rPr>
            </w:pPr>
          </w:p>
          <w:p w14:paraId="29CCED0D">
            <w:pPr>
              <w:spacing w:before="69" w:line="188" w:lineRule="auto"/>
              <w:ind w:firstLine="472" w:firstLineChars="200"/>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2.2.2</w:t>
            </w:r>
          </w:p>
        </w:tc>
        <w:tc>
          <w:tcPr>
            <w:tcW w:w="1702" w:type="dxa"/>
            <w:noWrap w:val="0"/>
            <w:vAlign w:val="top"/>
          </w:tcPr>
          <w:p w14:paraId="11F0C479">
            <w:pPr>
              <w:spacing w:line="245" w:lineRule="auto"/>
              <w:rPr>
                <w:rFonts w:ascii="Arial"/>
                <w:color w:val="auto"/>
                <w:sz w:val="21"/>
              </w:rPr>
            </w:pPr>
          </w:p>
          <w:p w14:paraId="4C7559A8">
            <w:pPr>
              <w:spacing w:line="245" w:lineRule="auto"/>
              <w:rPr>
                <w:rFonts w:ascii="Arial"/>
                <w:color w:val="auto"/>
                <w:sz w:val="21"/>
              </w:rPr>
            </w:pPr>
          </w:p>
          <w:p w14:paraId="14F70EC6">
            <w:pPr>
              <w:pStyle w:val="17"/>
              <w:spacing w:before="78" w:line="264" w:lineRule="auto"/>
              <w:ind w:right="131"/>
              <w:jc w:val="center"/>
              <w:rPr>
                <w:color w:val="auto"/>
                <w:spacing w:val="-2"/>
              </w:rPr>
            </w:pPr>
            <w:r>
              <w:rPr>
                <w:color w:val="auto"/>
                <w:spacing w:val="-2"/>
              </w:rPr>
              <w:t>评</w:t>
            </w:r>
            <w:r>
              <w:rPr>
                <w:rFonts w:hint="eastAsia"/>
                <w:color w:val="auto"/>
                <w:spacing w:val="-2"/>
                <w:lang w:val="en-US" w:eastAsia="zh-CN"/>
              </w:rPr>
              <w:t>审</w:t>
            </w:r>
            <w:r>
              <w:rPr>
                <w:color w:val="auto"/>
                <w:spacing w:val="-2"/>
              </w:rPr>
              <w:t>基</w:t>
            </w:r>
            <w:r>
              <w:rPr>
                <w:rFonts w:hint="eastAsia"/>
                <w:color w:val="auto"/>
                <w:spacing w:val="-2"/>
                <w:lang w:val="en-US" w:eastAsia="zh-CN"/>
              </w:rPr>
              <w:t>准</w:t>
            </w:r>
            <w:r>
              <w:rPr>
                <w:color w:val="auto"/>
                <w:spacing w:val="-2"/>
              </w:rPr>
              <w:t>价</w:t>
            </w:r>
          </w:p>
          <w:p w14:paraId="0D9FDF75">
            <w:pPr>
              <w:pStyle w:val="17"/>
              <w:spacing w:before="78" w:line="264" w:lineRule="auto"/>
              <w:ind w:right="131"/>
              <w:jc w:val="center"/>
              <w:rPr>
                <w:color w:val="auto"/>
              </w:rPr>
            </w:pPr>
            <w:r>
              <w:rPr>
                <w:color w:val="auto"/>
                <w:spacing w:val="-2"/>
              </w:rPr>
              <w:t>计</w:t>
            </w:r>
            <w:r>
              <w:rPr>
                <w:color w:val="auto"/>
                <w:spacing w:val="-4"/>
              </w:rPr>
              <w:t>算方法</w:t>
            </w:r>
          </w:p>
        </w:tc>
        <w:tc>
          <w:tcPr>
            <w:tcW w:w="5863" w:type="dxa"/>
            <w:noWrap w:val="0"/>
            <w:vAlign w:val="top"/>
          </w:tcPr>
          <w:p w14:paraId="421F8C5B">
            <w:pPr>
              <w:pStyle w:val="17"/>
              <w:spacing w:before="76" w:line="218" w:lineRule="auto"/>
              <w:ind w:firstLine="206" w:firstLineChars="100"/>
              <w:rPr>
                <w:color w:val="auto"/>
              </w:rPr>
            </w:pPr>
            <w:r>
              <w:rPr>
                <w:rFonts w:hint="eastAsia"/>
                <w:color w:val="auto"/>
                <w:spacing w:val="-2"/>
                <w:lang w:val="en-US" w:eastAsia="zh-CN"/>
              </w:rPr>
              <w:t>评审基准价</w:t>
            </w:r>
            <w:r>
              <w:rPr>
                <w:color w:val="auto"/>
                <w:spacing w:val="-2"/>
              </w:rPr>
              <w:t>的计算：</w:t>
            </w:r>
          </w:p>
          <w:p w14:paraId="3D50B684">
            <w:pPr>
              <w:pStyle w:val="17"/>
              <w:spacing w:before="6" w:line="276" w:lineRule="auto"/>
              <w:ind w:left="114" w:right="87" w:firstLine="9"/>
              <w:rPr>
                <w:color w:val="auto"/>
              </w:rPr>
            </w:pPr>
            <w:r>
              <w:rPr>
                <w:rFonts w:hint="eastAsia"/>
                <w:b/>
                <w:bCs/>
                <w:color w:val="auto"/>
                <w:spacing w:val="3"/>
                <w:lang w:val="en-US" w:eastAsia="zh-CN"/>
              </w:rPr>
              <w:t>有效供应商≥5家时，所有有效报</w:t>
            </w:r>
            <w:r>
              <w:rPr>
                <w:b/>
                <w:bCs/>
                <w:color w:val="auto"/>
                <w:spacing w:val="3"/>
              </w:rPr>
              <w:t>价去掉一个最高值和一个最低值后的算术平均值即为</w:t>
            </w:r>
            <w:r>
              <w:rPr>
                <w:rFonts w:hint="eastAsia"/>
                <w:b/>
                <w:bCs/>
                <w:color w:val="auto"/>
                <w:spacing w:val="3"/>
                <w:lang w:val="en-US" w:eastAsia="zh-CN"/>
              </w:rPr>
              <w:t>评审基准价</w:t>
            </w:r>
            <w:r>
              <w:rPr>
                <w:rFonts w:hint="eastAsia"/>
                <w:b/>
                <w:bCs/>
                <w:color w:val="auto"/>
                <w:spacing w:val="3"/>
                <w:lang w:eastAsia="zh-CN"/>
              </w:rPr>
              <w:t>；</w:t>
            </w:r>
            <w:r>
              <w:rPr>
                <w:b/>
                <w:bCs/>
                <w:color w:val="auto"/>
                <w:spacing w:val="3"/>
              </w:rPr>
              <w:t>如</w:t>
            </w:r>
            <w:r>
              <w:rPr>
                <w:b/>
                <w:bCs/>
                <w:color w:val="auto"/>
                <w:spacing w:val="2"/>
              </w:rPr>
              <w:t>果参与评</w:t>
            </w:r>
            <w:r>
              <w:rPr>
                <w:rFonts w:hint="eastAsia"/>
                <w:b/>
                <w:bCs/>
                <w:color w:val="auto"/>
                <w:spacing w:val="2"/>
                <w:lang w:val="en-US" w:eastAsia="zh-CN"/>
              </w:rPr>
              <w:t>审基准价</w:t>
            </w:r>
            <w:r>
              <w:rPr>
                <w:b/>
                <w:bCs/>
                <w:color w:val="auto"/>
                <w:spacing w:val="2"/>
              </w:rPr>
              <w:t>计算的有效</w:t>
            </w:r>
            <w:r>
              <w:rPr>
                <w:rFonts w:hint="eastAsia"/>
                <w:b/>
                <w:bCs/>
                <w:color w:val="auto"/>
                <w:spacing w:val="2"/>
                <w:lang w:val="en-US" w:eastAsia="zh-CN"/>
              </w:rPr>
              <w:t>供应商＜</w:t>
            </w:r>
            <w:r>
              <w:rPr>
                <w:color w:val="auto"/>
                <w:spacing w:val="-29"/>
              </w:rPr>
              <w:t xml:space="preserve"> </w:t>
            </w:r>
            <w:r>
              <w:rPr>
                <w:rFonts w:ascii="Times New Roman" w:hAnsi="Times New Roman" w:eastAsia="Times New Roman" w:cs="Times New Roman"/>
                <w:b/>
                <w:bCs/>
                <w:color w:val="auto"/>
                <w:spacing w:val="2"/>
              </w:rPr>
              <w:t xml:space="preserve">5 </w:t>
            </w:r>
            <w:r>
              <w:rPr>
                <w:b/>
                <w:bCs/>
                <w:color w:val="auto"/>
                <w:spacing w:val="2"/>
              </w:rPr>
              <w:t>家时，</w:t>
            </w:r>
            <w:r>
              <w:rPr>
                <w:b/>
                <w:bCs/>
                <w:color w:val="auto"/>
                <w:spacing w:val="-3"/>
              </w:rPr>
              <w:t>则计算</w:t>
            </w:r>
            <w:r>
              <w:rPr>
                <w:rFonts w:hint="eastAsia"/>
                <w:b/>
                <w:bCs/>
                <w:color w:val="auto"/>
                <w:spacing w:val="-3"/>
                <w:lang w:val="en-US" w:eastAsia="zh-CN"/>
              </w:rPr>
              <w:t>评审基准价</w:t>
            </w:r>
            <w:r>
              <w:rPr>
                <w:b/>
                <w:bCs/>
                <w:color w:val="auto"/>
                <w:spacing w:val="-3"/>
              </w:rPr>
              <w:t>时</w:t>
            </w:r>
            <w:r>
              <w:rPr>
                <w:rFonts w:hint="eastAsia"/>
                <w:b/>
                <w:bCs/>
                <w:color w:val="auto"/>
                <w:spacing w:val="-3"/>
                <w:lang w:eastAsia="zh-CN"/>
              </w:rPr>
              <w:t>，</w:t>
            </w:r>
            <w:r>
              <w:rPr>
                <w:rFonts w:hint="eastAsia"/>
                <w:b/>
                <w:bCs/>
                <w:color w:val="auto"/>
                <w:spacing w:val="-3"/>
                <w:lang w:val="en-US" w:eastAsia="zh-CN"/>
              </w:rPr>
              <w:t>取所有有效报价的算术平均值</w:t>
            </w:r>
            <w:r>
              <w:rPr>
                <w:b/>
                <w:bCs/>
                <w:color w:val="auto"/>
                <w:spacing w:val="-3"/>
              </w:rPr>
              <w:t>。</w:t>
            </w:r>
          </w:p>
        </w:tc>
      </w:tr>
      <w:tr w14:paraId="6914E4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7" w:hRule="atLeast"/>
        </w:trPr>
        <w:tc>
          <w:tcPr>
            <w:tcW w:w="964" w:type="dxa"/>
            <w:noWrap w:val="0"/>
            <w:vAlign w:val="top"/>
          </w:tcPr>
          <w:p w14:paraId="232F1E49">
            <w:pPr>
              <w:spacing w:line="395" w:lineRule="auto"/>
              <w:rPr>
                <w:rFonts w:ascii="Arial"/>
                <w:color w:val="auto"/>
                <w:sz w:val="21"/>
              </w:rPr>
            </w:pPr>
          </w:p>
          <w:p w14:paraId="5527BF9B">
            <w:pPr>
              <w:spacing w:before="69" w:line="188" w:lineRule="auto"/>
              <w:ind w:left="245"/>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2.2.3</w:t>
            </w:r>
          </w:p>
        </w:tc>
        <w:tc>
          <w:tcPr>
            <w:tcW w:w="1702" w:type="dxa"/>
            <w:noWrap w:val="0"/>
            <w:vAlign w:val="top"/>
          </w:tcPr>
          <w:p w14:paraId="5C5D38CD">
            <w:pPr>
              <w:pStyle w:val="17"/>
              <w:spacing w:before="241" w:line="262" w:lineRule="auto"/>
              <w:ind w:left="256" w:right="131" w:hanging="122"/>
              <w:rPr>
                <w:color w:val="auto"/>
              </w:rPr>
            </w:pPr>
            <w:r>
              <w:rPr>
                <w:rFonts w:hint="eastAsia"/>
                <w:color w:val="auto"/>
                <w:spacing w:val="-2"/>
                <w:lang w:val="en-US" w:eastAsia="zh-CN"/>
              </w:rPr>
              <w:t>报价</w:t>
            </w:r>
            <w:r>
              <w:rPr>
                <w:color w:val="auto"/>
                <w:spacing w:val="-2"/>
              </w:rPr>
              <w:t>的偏差</w:t>
            </w:r>
            <w:r>
              <w:rPr>
                <w:color w:val="auto"/>
                <w:spacing w:val="-3"/>
              </w:rPr>
              <w:t>率计算公式</w:t>
            </w:r>
          </w:p>
        </w:tc>
        <w:tc>
          <w:tcPr>
            <w:tcW w:w="5863" w:type="dxa"/>
            <w:noWrap w:val="0"/>
            <w:vAlign w:val="top"/>
          </w:tcPr>
          <w:p w14:paraId="7BDA1D7B">
            <w:pPr>
              <w:pStyle w:val="17"/>
              <w:spacing w:before="24" w:line="268" w:lineRule="auto"/>
              <w:ind w:left="114" w:right="104" w:hanging="1"/>
              <w:rPr>
                <w:rFonts w:hint="eastAsia" w:eastAsia="宋体"/>
                <w:color w:val="auto"/>
                <w:lang w:eastAsia="zh-CN"/>
              </w:rPr>
            </w:pPr>
            <w:r>
              <w:rPr>
                <w:color w:val="auto"/>
                <w:spacing w:val="-5"/>
              </w:rPr>
              <w:t>偏差率</w:t>
            </w:r>
            <w:r>
              <w:rPr>
                <w:rFonts w:ascii="Times New Roman" w:hAnsi="Times New Roman" w:eastAsia="Times New Roman" w:cs="Times New Roman"/>
                <w:color w:val="auto"/>
                <w:spacing w:val="-5"/>
              </w:rPr>
              <w:t>=100%</w:t>
            </w:r>
            <w:r>
              <w:rPr>
                <w:rFonts w:ascii="Times New Roman" w:hAnsi="Times New Roman" w:eastAsia="Times New Roman" w:cs="Times New Roman"/>
                <w:color w:val="auto"/>
                <w:spacing w:val="21"/>
                <w:w w:val="101"/>
              </w:rPr>
              <w:t xml:space="preserve"> </w:t>
            </w:r>
            <w:r>
              <w:rPr>
                <w:rFonts w:ascii="Times New Roman" w:hAnsi="Times New Roman" w:eastAsia="Times New Roman" w:cs="Times New Roman"/>
                <w:color w:val="auto"/>
                <w:spacing w:val="-5"/>
              </w:rPr>
              <w:t>×</w:t>
            </w:r>
            <w:r>
              <w:rPr>
                <w:color w:val="auto"/>
                <w:spacing w:val="-5"/>
              </w:rPr>
              <w:t>（</w:t>
            </w:r>
            <w:r>
              <w:rPr>
                <w:rFonts w:hint="eastAsia"/>
                <w:color w:val="auto"/>
                <w:spacing w:val="-5"/>
                <w:lang w:val="en-US" w:eastAsia="zh-CN"/>
              </w:rPr>
              <w:t>供应商报</w:t>
            </w:r>
            <w:r>
              <w:rPr>
                <w:color w:val="auto"/>
                <w:spacing w:val="-5"/>
              </w:rPr>
              <w:t>价－评</w:t>
            </w:r>
            <w:r>
              <w:rPr>
                <w:rFonts w:hint="eastAsia"/>
                <w:color w:val="auto"/>
                <w:spacing w:val="-5"/>
                <w:lang w:val="en-US" w:eastAsia="zh-CN"/>
              </w:rPr>
              <w:t>审</w:t>
            </w:r>
            <w:r>
              <w:rPr>
                <w:color w:val="auto"/>
                <w:spacing w:val="-5"/>
              </w:rPr>
              <w:t>基准价</w:t>
            </w:r>
            <w:r>
              <w:rPr>
                <w:color w:val="auto"/>
                <w:spacing w:val="-6"/>
              </w:rPr>
              <w:t>）</w:t>
            </w:r>
            <w:r>
              <w:rPr>
                <w:rFonts w:ascii="Times New Roman" w:hAnsi="Times New Roman" w:eastAsia="Times New Roman" w:cs="Times New Roman"/>
                <w:color w:val="auto"/>
                <w:spacing w:val="-6"/>
              </w:rPr>
              <w:t>/</w:t>
            </w:r>
            <w:r>
              <w:rPr>
                <w:color w:val="auto"/>
                <w:spacing w:val="-6"/>
              </w:rPr>
              <w:t>评</w:t>
            </w:r>
            <w:r>
              <w:rPr>
                <w:rFonts w:hint="eastAsia"/>
                <w:color w:val="auto"/>
                <w:spacing w:val="-6"/>
                <w:lang w:val="en-US" w:eastAsia="zh-CN"/>
              </w:rPr>
              <w:t>审</w:t>
            </w:r>
            <w:r>
              <w:rPr>
                <w:color w:val="auto"/>
                <w:spacing w:val="-6"/>
              </w:rPr>
              <w:t>基准价</w:t>
            </w:r>
            <w:r>
              <w:rPr>
                <w:rFonts w:hint="eastAsia"/>
                <w:color w:val="auto"/>
                <w:spacing w:val="-6"/>
                <w:lang w:eastAsia="zh-CN"/>
              </w:rPr>
              <w:t>。</w:t>
            </w:r>
            <w:r>
              <w:rPr>
                <w:color w:val="auto"/>
                <w:spacing w:val="-9"/>
              </w:rPr>
              <w:t>偏差率保留</w:t>
            </w:r>
            <w:r>
              <w:rPr>
                <w:rFonts w:ascii="Times New Roman" w:hAnsi="Times New Roman" w:eastAsia="Times New Roman" w:cs="Times New Roman"/>
                <w:color w:val="auto"/>
                <w:spacing w:val="-9"/>
                <w:u w:val="single" w:color="auto"/>
              </w:rPr>
              <w:t xml:space="preserve">  2  </w:t>
            </w:r>
            <w:r>
              <w:rPr>
                <w:color w:val="auto"/>
                <w:spacing w:val="-9"/>
              </w:rPr>
              <w:t>位小数</w:t>
            </w:r>
            <w:r>
              <w:rPr>
                <w:b/>
                <w:bCs/>
                <w:color w:val="auto"/>
                <w:spacing w:val="-9"/>
              </w:rPr>
              <w:t>（小数点后第</w:t>
            </w:r>
            <w:r>
              <w:rPr>
                <w:rFonts w:hint="eastAsia"/>
                <w:b/>
                <w:bCs/>
                <w:color w:val="auto"/>
                <w:spacing w:val="-9"/>
                <w:lang w:val="en-US" w:eastAsia="zh-CN"/>
              </w:rPr>
              <w:t>二</w:t>
            </w:r>
            <w:r>
              <w:rPr>
                <w:b/>
                <w:bCs/>
                <w:color w:val="auto"/>
                <w:spacing w:val="-9"/>
              </w:rPr>
              <w:t>位“四舍五入</w:t>
            </w:r>
            <w:r>
              <w:rPr>
                <w:color w:val="auto"/>
                <w:spacing w:val="-76"/>
              </w:rPr>
              <w:t xml:space="preserve"> </w:t>
            </w:r>
            <w:r>
              <w:rPr>
                <w:b/>
                <w:bCs/>
                <w:color w:val="auto"/>
                <w:spacing w:val="-9"/>
              </w:rPr>
              <w:t>”</w:t>
            </w:r>
            <w:r>
              <w:rPr>
                <w:rFonts w:hint="eastAsia"/>
                <w:b/>
                <w:bCs/>
                <w:color w:val="auto"/>
                <w:spacing w:val="-9"/>
                <w:lang w:eastAsia="zh-CN"/>
              </w:rPr>
              <w:t>）。</w:t>
            </w:r>
          </w:p>
        </w:tc>
      </w:tr>
    </w:tbl>
    <w:p w14:paraId="315D3F02">
      <w:pPr>
        <w:rPr>
          <w:rFonts w:ascii="Arial" w:hAnsi="Arial" w:eastAsia="Arial" w:cs="Arial"/>
          <w:color w:val="auto"/>
          <w:sz w:val="21"/>
          <w:szCs w:val="21"/>
        </w:rPr>
        <w:sectPr>
          <w:footerReference r:id="rId4" w:type="default"/>
          <w:pgSz w:w="11905" w:h="16839"/>
          <w:pgMar w:top="1440" w:right="1800" w:bottom="1440" w:left="1800" w:header="829" w:footer="854" w:gutter="0"/>
          <w:pgNumType w:fmt="decimal" w:start="1"/>
          <w:cols w:space="720" w:num="1"/>
        </w:sectPr>
      </w:pP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《评分细则》如下：</w:t>
      </w: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9F487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25E1C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6906B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FC87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7A3F6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restart"/>
            <w:tcBorders>
              <w:top w:val="single" w:color="auto" w:sz="4" w:space="0"/>
              <w:right w:val="single" w:color="auto" w:sz="4" w:space="0"/>
            </w:tcBorders>
            <w:noWrap w:val="0"/>
            <w:vAlign w:val="center"/>
          </w:tcPr>
          <w:p w14:paraId="217CD90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4" w:edGrp="everyone" w:colFirst="0" w:colLast="0"/>
            <w:permStart w:id="45" w:edGrp="everyone" w:colFirst="1" w:colLast="1"/>
            <w:permStart w:id="46" w:edGrp="everyone" w:colFirst="2" w:colLast="2"/>
            <w:r>
              <w:rPr>
                <w:rFonts w:hint="eastAsia" w:ascii="Times New Roman" w:hAnsi="Times New Roman" w:cs="Times New Roman"/>
                <w:color w:val="auto"/>
                <w:kern w:val="0"/>
                <w:sz w:val="24"/>
                <w:szCs w:val="24"/>
                <w:highlight w:val="none"/>
                <w:lang w:val="en-US" w:eastAsia="zh-CN"/>
              </w:rPr>
              <w:t>资信评分标准</w:t>
            </w:r>
          </w:p>
          <w:p w14:paraId="1254EE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5843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2C1286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yellow"/>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552D62">
            <w:pPr>
              <w:pStyle w:val="17"/>
              <w:spacing w:before="120" w:line="308" w:lineRule="auto"/>
              <w:ind w:left="116" w:right="104" w:firstLine="17"/>
              <w:jc w:val="both"/>
              <w:rPr>
                <w:color w:val="auto"/>
              </w:rPr>
            </w:pPr>
            <w:r>
              <w:rPr>
                <w:color w:val="auto"/>
                <w:spacing w:val="-5"/>
              </w:rPr>
              <w:t>1.近</w:t>
            </w:r>
            <w:r>
              <w:rPr>
                <w:color w:val="auto"/>
                <w:spacing w:val="-45"/>
              </w:rPr>
              <w:t xml:space="preserve"> </w:t>
            </w:r>
            <w:r>
              <w:rPr>
                <w:color w:val="auto"/>
                <w:spacing w:val="-5"/>
              </w:rPr>
              <w:t>5</w:t>
            </w:r>
            <w:r>
              <w:rPr>
                <w:color w:val="auto"/>
                <w:spacing w:val="-50"/>
              </w:rPr>
              <w:t xml:space="preserve"> </w:t>
            </w:r>
            <w:r>
              <w:rPr>
                <w:color w:val="auto"/>
                <w:spacing w:val="-5"/>
              </w:rPr>
              <w:t>个年度（20</w:t>
            </w:r>
            <w:r>
              <w:rPr>
                <w:rFonts w:hint="eastAsia"/>
                <w:color w:val="auto"/>
                <w:spacing w:val="-5"/>
                <w:lang w:val="en-US" w:eastAsia="zh-CN"/>
              </w:rPr>
              <w:t>21</w:t>
            </w:r>
            <w:r>
              <w:rPr>
                <w:color w:val="auto"/>
                <w:spacing w:val="-5"/>
              </w:rPr>
              <w:t>-20</w:t>
            </w:r>
            <w:r>
              <w:rPr>
                <w:rFonts w:hint="eastAsia"/>
                <w:color w:val="auto"/>
                <w:spacing w:val="-5"/>
                <w:lang w:val="en-US" w:eastAsia="zh-CN"/>
              </w:rPr>
              <w:t>25</w:t>
            </w:r>
            <w:r>
              <w:rPr>
                <w:color w:val="auto"/>
                <w:spacing w:val="-26"/>
              </w:rPr>
              <w:t>），</w:t>
            </w:r>
            <w:r>
              <w:rPr>
                <w:color w:val="auto"/>
                <w:spacing w:val="-5"/>
              </w:rPr>
              <w:t>任</w:t>
            </w:r>
            <w:r>
              <w:rPr>
                <w:color w:val="auto"/>
                <w:spacing w:val="1"/>
              </w:rPr>
              <w:t>意一个年度</w:t>
            </w:r>
            <w:r>
              <w:rPr>
                <w:rFonts w:hint="eastAsia"/>
                <w:color w:val="auto"/>
                <w:spacing w:val="9"/>
                <w:lang w:val="en-US" w:eastAsia="zh-CN"/>
              </w:rPr>
              <w:t>供应商</w:t>
            </w:r>
            <w:r>
              <w:rPr>
                <w:color w:val="auto"/>
                <w:spacing w:val="1"/>
              </w:rPr>
              <w:t>获得信用评价</w:t>
            </w:r>
            <w:r>
              <w:rPr>
                <w:color w:val="auto"/>
                <w:spacing w:val="-8"/>
              </w:rPr>
              <w:t>等级</w:t>
            </w:r>
            <w:r>
              <w:rPr>
                <w:color w:val="auto"/>
                <w:spacing w:val="-55"/>
              </w:rPr>
              <w:t xml:space="preserve"> </w:t>
            </w:r>
            <w:r>
              <w:rPr>
                <w:color w:val="auto"/>
                <w:spacing w:val="-8"/>
              </w:rPr>
              <w:t>AA</w:t>
            </w:r>
            <w:r>
              <w:rPr>
                <w:color w:val="auto"/>
                <w:spacing w:val="-47"/>
              </w:rPr>
              <w:t xml:space="preserve"> </w:t>
            </w:r>
            <w:r>
              <w:rPr>
                <w:color w:val="auto"/>
                <w:spacing w:val="-8"/>
              </w:rPr>
              <w:t>级的，每提供一个得</w:t>
            </w:r>
            <w:r>
              <w:rPr>
                <w:color w:val="auto"/>
                <w:spacing w:val="4"/>
              </w:rPr>
              <w:t>3</w:t>
            </w:r>
            <w:r>
              <w:rPr>
                <w:color w:val="auto"/>
                <w:spacing w:val="-41"/>
              </w:rPr>
              <w:t xml:space="preserve"> </w:t>
            </w:r>
            <w:r>
              <w:rPr>
                <w:color w:val="auto"/>
                <w:spacing w:val="4"/>
              </w:rPr>
              <w:t>分；任意一个年度</w:t>
            </w:r>
            <w:r>
              <w:rPr>
                <w:rFonts w:hint="eastAsia"/>
                <w:color w:val="auto"/>
                <w:spacing w:val="4"/>
                <w:lang w:val="en-US" w:eastAsia="zh-CN"/>
              </w:rPr>
              <w:t>供应商</w:t>
            </w:r>
            <w:r>
              <w:rPr>
                <w:color w:val="auto"/>
                <w:spacing w:val="4"/>
              </w:rPr>
              <w:t>获得</w:t>
            </w:r>
            <w:r>
              <w:rPr>
                <w:color w:val="auto"/>
              </w:rPr>
              <w:t>信用评价等级</w:t>
            </w:r>
            <w:r>
              <w:rPr>
                <w:color w:val="auto"/>
                <w:spacing w:val="-58"/>
              </w:rPr>
              <w:t xml:space="preserve"> </w:t>
            </w:r>
            <w:r>
              <w:rPr>
                <w:color w:val="auto"/>
              </w:rPr>
              <w:t>A</w:t>
            </w:r>
            <w:r>
              <w:rPr>
                <w:color w:val="auto"/>
                <w:spacing w:val="-44"/>
              </w:rPr>
              <w:t xml:space="preserve"> </w:t>
            </w:r>
            <w:r>
              <w:rPr>
                <w:color w:val="auto"/>
              </w:rPr>
              <w:t>级的，每提供一</w:t>
            </w:r>
            <w:r>
              <w:rPr>
                <w:color w:val="auto"/>
                <w:spacing w:val="-2"/>
              </w:rPr>
              <w:t>个得</w:t>
            </w:r>
            <w:r>
              <w:rPr>
                <w:color w:val="auto"/>
                <w:spacing w:val="-29"/>
              </w:rPr>
              <w:t xml:space="preserve"> </w:t>
            </w:r>
            <w:r>
              <w:rPr>
                <w:color w:val="auto"/>
                <w:spacing w:val="-2"/>
              </w:rPr>
              <w:t>1</w:t>
            </w:r>
            <w:r>
              <w:rPr>
                <w:color w:val="auto"/>
                <w:spacing w:val="-48"/>
              </w:rPr>
              <w:t xml:space="preserve"> </w:t>
            </w:r>
            <w:r>
              <w:rPr>
                <w:color w:val="auto"/>
                <w:spacing w:val="-2"/>
              </w:rPr>
              <w:t>分；其他等级不得分，本</w:t>
            </w:r>
            <w:r>
              <w:rPr>
                <w:color w:val="auto"/>
                <w:spacing w:val="-5"/>
              </w:rPr>
              <w:t>小项满分</w:t>
            </w:r>
            <w:r>
              <w:rPr>
                <w:color w:val="auto"/>
                <w:spacing w:val="-48"/>
              </w:rPr>
              <w:t xml:space="preserve"> </w:t>
            </w:r>
            <w:r>
              <w:rPr>
                <w:color w:val="auto"/>
                <w:spacing w:val="-5"/>
              </w:rPr>
              <w:t>6</w:t>
            </w:r>
            <w:r>
              <w:rPr>
                <w:color w:val="auto"/>
                <w:spacing w:val="-48"/>
              </w:rPr>
              <w:t xml:space="preserve"> </w:t>
            </w:r>
            <w:r>
              <w:rPr>
                <w:color w:val="auto"/>
                <w:spacing w:val="-5"/>
              </w:rPr>
              <w:t>分。</w:t>
            </w:r>
          </w:p>
          <w:p w14:paraId="00B29C33">
            <w:pPr>
              <w:pStyle w:val="17"/>
              <w:spacing w:before="18" w:line="308" w:lineRule="auto"/>
              <w:ind w:left="116" w:right="95"/>
              <w:jc w:val="both"/>
              <w:rPr>
                <w:color w:val="auto"/>
              </w:rPr>
            </w:pPr>
            <w:r>
              <w:rPr>
                <w:b/>
                <w:bCs/>
                <w:color w:val="auto"/>
                <w:spacing w:val="-1"/>
              </w:rPr>
              <w:t>注：</w:t>
            </w:r>
            <w:r>
              <w:rPr>
                <w:rFonts w:hint="eastAsia"/>
                <w:b/>
                <w:bCs/>
                <w:color w:val="auto"/>
                <w:spacing w:val="-1"/>
                <w:lang w:val="en-US" w:eastAsia="zh-CN"/>
              </w:rPr>
              <w:t>响应</w:t>
            </w:r>
            <w:r>
              <w:rPr>
                <w:b/>
                <w:bCs/>
                <w:color w:val="auto"/>
                <w:spacing w:val="-1"/>
              </w:rPr>
              <w:t>文件中须提供公路水运工程质量检测管理信息系统网站中公布的信用评价网页截图，或提供省级交通运输厅网站公布的</w:t>
            </w:r>
            <w:r>
              <w:rPr>
                <w:b/>
                <w:bCs/>
                <w:color w:val="auto"/>
                <w:spacing w:val="-3"/>
              </w:rPr>
              <w:t>信用评价网页截图。</w:t>
            </w:r>
          </w:p>
          <w:p w14:paraId="37FA74FE">
            <w:pPr>
              <w:pStyle w:val="17"/>
              <w:spacing w:before="119" w:line="219" w:lineRule="auto"/>
              <w:rPr>
                <w:color w:val="auto"/>
                <w:spacing w:val="-6"/>
              </w:rPr>
            </w:pPr>
            <w:r>
              <w:rPr>
                <w:color w:val="auto"/>
                <w:spacing w:val="-17"/>
              </w:rPr>
              <w:t>2.</w:t>
            </w:r>
            <w:r>
              <w:rPr>
                <w:color w:val="auto"/>
                <w:spacing w:val="-71"/>
              </w:rPr>
              <w:t xml:space="preserve"> </w:t>
            </w:r>
            <w:r>
              <w:rPr>
                <w:color w:val="auto"/>
                <w:spacing w:val="-17"/>
              </w:rPr>
              <w:t>自</w:t>
            </w:r>
            <w:r>
              <w:rPr>
                <w:color w:val="auto"/>
                <w:spacing w:val="-48"/>
              </w:rPr>
              <w:t xml:space="preserve"> </w:t>
            </w:r>
            <w:r>
              <w:rPr>
                <w:color w:val="auto"/>
                <w:spacing w:val="1"/>
              </w:rPr>
              <w:t>20</w:t>
            </w:r>
            <w:r>
              <w:rPr>
                <w:rFonts w:hint="default"/>
                <w:color w:val="auto"/>
                <w:spacing w:val="1"/>
                <w:lang w:val="en-US" w:eastAsia="zh-CN"/>
              </w:rPr>
              <w:t>21</w:t>
            </w:r>
            <w:r>
              <w:rPr>
                <w:color w:val="auto"/>
                <w:spacing w:val="1"/>
              </w:rPr>
              <w:t>年 1 月 1 日</w:t>
            </w:r>
            <w:r>
              <w:rPr>
                <w:color w:val="auto"/>
                <w:spacing w:val="-17"/>
              </w:rPr>
              <w:t>以来，</w:t>
            </w:r>
            <w:r>
              <w:rPr>
                <w:rFonts w:hint="eastAsia"/>
                <w:color w:val="auto"/>
                <w:spacing w:val="9"/>
                <w:lang w:val="en-US" w:eastAsia="zh-CN"/>
              </w:rPr>
              <w:t>供应商</w:t>
            </w:r>
            <w:r>
              <w:rPr>
                <w:color w:val="auto"/>
                <w:spacing w:val="1"/>
              </w:rPr>
              <w:t>参加的任意一次比对试验评价</w:t>
            </w:r>
            <w:r>
              <w:rPr>
                <w:color w:val="auto"/>
                <w:spacing w:val="-1"/>
              </w:rPr>
              <w:t>结果为满意的，得</w:t>
            </w:r>
            <w:r>
              <w:rPr>
                <w:color w:val="auto"/>
                <w:spacing w:val="-45"/>
              </w:rPr>
              <w:t xml:space="preserve"> </w:t>
            </w:r>
            <w:r>
              <w:rPr>
                <w:color w:val="auto"/>
                <w:spacing w:val="-1"/>
              </w:rPr>
              <w:t>4</w:t>
            </w:r>
            <w:r>
              <w:rPr>
                <w:color w:val="auto"/>
                <w:spacing w:val="-45"/>
              </w:rPr>
              <w:t xml:space="preserve"> </w:t>
            </w:r>
            <w:r>
              <w:rPr>
                <w:color w:val="auto"/>
                <w:spacing w:val="-1"/>
              </w:rPr>
              <w:t>分；</w:t>
            </w:r>
            <w:r>
              <w:rPr>
                <w:rFonts w:hint="eastAsia"/>
                <w:color w:val="auto"/>
                <w:spacing w:val="9"/>
                <w:lang w:val="en-US" w:eastAsia="zh-CN"/>
              </w:rPr>
              <w:t>供应商</w:t>
            </w:r>
            <w:r>
              <w:rPr>
                <w:color w:val="auto"/>
                <w:spacing w:val="1"/>
              </w:rPr>
              <w:t>参加的任意一次比对试验评价结</w:t>
            </w:r>
            <w:r>
              <w:rPr>
                <w:color w:val="auto"/>
                <w:spacing w:val="-1"/>
              </w:rPr>
              <w:t>果为基本满意的，得</w:t>
            </w:r>
            <w:r>
              <w:rPr>
                <w:color w:val="auto"/>
                <w:spacing w:val="-45"/>
              </w:rPr>
              <w:t xml:space="preserve"> </w:t>
            </w:r>
            <w:r>
              <w:rPr>
                <w:color w:val="auto"/>
                <w:spacing w:val="-1"/>
              </w:rPr>
              <w:t>2</w:t>
            </w:r>
            <w:r>
              <w:rPr>
                <w:color w:val="auto"/>
                <w:spacing w:val="-45"/>
              </w:rPr>
              <w:t xml:space="preserve"> </w:t>
            </w:r>
            <w:r>
              <w:rPr>
                <w:color w:val="auto"/>
                <w:spacing w:val="-1"/>
              </w:rPr>
              <w:t>分；本小</w:t>
            </w:r>
            <w:r>
              <w:rPr>
                <w:color w:val="auto"/>
                <w:spacing w:val="-6"/>
              </w:rPr>
              <w:t>项满分</w:t>
            </w:r>
            <w:r>
              <w:rPr>
                <w:color w:val="auto"/>
                <w:spacing w:val="-51"/>
              </w:rPr>
              <w:t xml:space="preserve"> </w:t>
            </w:r>
            <w:r>
              <w:rPr>
                <w:color w:val="auto"/>
                <w:spacing w:val="-6"/>
              </w:rPr>
              <w:t>4</w:t>
            </w:r>
            <w:r>
              <w:rPr>
                <w:color w:val="auto"/>
                <w:spacing w:val="-48"/>
              </w:rPr>
              <w:t xml:space="preserve"> </w:t>
            </w:r>
            <w:r>
              <w:rPr>
                <w:color w:val="auto"/>
                <w:spacing w:val="-6"/>
              </w:rPr>
              <w:t>分。</w:t>
            </w:r>
          </w:p>
          <w:p w14:paraId="49ED7A92">
            <w:pPr>
              <w:pStyle w:val="17"/>
              <w:spacing w:before="119" w:line="219" w:lineRule="auto"/>
              <w:rPr>
                <w:rFonts w:hint="default"/>
                <w:color w:val="auto"/>
                <w:spacing w:val="-6"/>
                <w:lang w:val="en-US" w:eastAsia="zh-CN"/>
              </w:rPr>
            </w:pPr>
            <w:r>
              <w:rPr>
                <w:b/>
                <w:bCs/>
                <w:color w:val="auto"/>
                <w:spacing w:val="-1"/>
              </w:rPr>
              <w:t>注：投标文件中须提供公路水运工程质量检测管理信息系统网站</w:t>
            </w:r>
            <w:r>
              <w:rPr>
                <w:b/>
                <w:bCs/>
                <w:color w:val="auto"/>
                <w:spacing w:val="-3"/>
              </w:rPr>
              <w:t>中公布的比对试验网页截图。</w:t>
            </w:r>
          </w:p>
        </w:tc>
      </w:tr>
      <w:permEnd w:id="44"/>
      <w:permEnd w:id="45"/>
      <w:permEnd w:id="46"/>
      <w:tr w14:paraId="1D6E71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403BE4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7" w:edGrp="everyone" w:colFirst="0" w:colLast="0"/>
            <w:permStart w:id="48" w:edGrp="everyone" w:colFirst="1" w:colLast="1"/>
            <w:permStart w:id="49"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6E9B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类似项目业绩</w:t>
            </w:r>
          </w:p>
          <w:p w14:paraId="0D5C25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18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9FC837">
            <w:pPr>
              <w:pStyle w:val="17"/>
              <w:spacing w:before="0" w:line="400" w:lineRule="exact"/>
              <w:ind w:left="0" w:right="0" w:firstLine="0"/>
              <w:jc w:val="both"/>
              <w:rPr>
                <w:color w:val="auto"/>
              </w:rPr>
            </w:pPr>
            <w:r>
              <w:rPr>
                <w:rFonts w:hint="eastAsia"/>
                <w:color w:val="auto"/>
                <w:spacing w:val="0"/>
                <w:lang w:val="en-US" w:eastAsia="zh-CN"/>
              </w:rPr>
              <w:t>除供应商资格要求以外，</w:t>
            </w:r>
            <w:r>
              <w:rPr>
                <w:color w:val="auto"/>
                <w:spacing w:val="0"/>
              </w:rPr>
              <w:t>自 20</w:t>
            </w:r>
            <w:r>
              <w:rPr>
                <w:rFonts w:hint="default"/>
                <w:color w:val="auto"/>
                <w:spacing w:val="0"/>
                <w:lang w:val="en-US" w:eastAsia="zh-CN"/>
              </w:rPr>
              <w:t>21</w:t>
            </w:r>
            <w:r>
              <w:rPr>
                <w:color w:val="auto"/>
                <w:spacing w:val="0"/>
              </w:rPr>
              <w:t xml:space="preserve"> 年 1 月 1 日以来</w:t>
            </w:r>
            <w:r>
              <w:rPr>
                <w:rFonts w:hint="eastAsia"/>
                <w:color w:val="auto"/>
                <w:spacing w:val="0"/>
                <w:lang w:val="en-US" w:eastAsia="zh-CN"/>
              </w:rPr>
              <w:t>另提供满足以下业绩要求的。</w:t>
            </w:r>
            <w:r>
              <w:rPr>
                <w:color w:val="auto"/>
                <w:spacing w:val="0"/>
              </w:rPr>
              <w:t>（以合同</w:t>
            </w:r>
            <w:r>
              <w:rPr>
                <w:color w:val="auto"/>
              </w:rPr>
              <w:t>签订时间为准</w:t>
            </w:r>
            <w:r>
              <w:rPr>
                <w:color w:val="auto"/>
                <w:spacing w:val="0"/>
              </w:rPr>
              <w:t>）</w:t>
            </w:r>
            <w:r>
              <w:rPr>
                <w:rFonts w:hint="eastAsia"/>
                <w:color w:val="auto"/>
                <w:spacing w:val="0"/>
                <w:lang w:eastAsia="zh-CN"/>
              </w:rPr>
              <w:t>。</w:t>
            </w:r>
          </w:p>
          <w:p w14:paraId="41460262">
            <w:pPr>
              <w:pStyle w:val="17"/>
              <w:spacing w:before="16" w:line="310" w:lineRule="auto"/>
              <w:ind w:left="118" w:right="107" w:firstLine="9"/>
              <w:rPr>
                <w:color w:val="auto"/>
              </w:rPr>
            </w:pPr>
            <w:r>
              <w:rPr>
                <w:color w:val="auto"/>
                <w:spacing w:val="0"/>
              </w:rPr>
              <w:t>（1）业绩内容须至少包含高速公路桥梁和高速公路道路检测；</w:t>
            </w:r>
          </w:p>
          <w:p w14:paraId="04F4BC77">
            <w:pPr>
              <w:pStyle w:val="17"/>
              <w:spacing w:before="18" w:line="309" w:lineRule="auto"/>
              <w:ind w:left="133" w:right="107" w:hanging="6"/>
              <w:rPr>
                <w:color w:val="auto"/>
              </w:rPr>
            </w:pPr>
            <w:r>
              <w:rPr>
                <w:color w:val="auto"/>
                <w:spacing w:val="0"/>
              </w:rPr>
              <w:t>（2）单个合同检测费金额不少于50 万元；</w:t>
            </w:r>
          </w:p>
          <w:p w14:paraId="5D7D25D6">
            <w:pPr>
              <w:pStyle w:val="17"/>
              <w:spacing w:before="20" w:line="312" w:lineRule="auto"/>
              <w:ind w:left="118" w:right="107" w:firstLine="9"/>
              <w:rPr>
                <w:color w:val="auto"/>
              </w:rPr>
            </w:pPr>
            <w:r>
              <w:rPr>
                <w:color w:val="auto"/>
                <w:spacing w:val="0"/>
              </w:rPr>
              <w:t>（3）施工单位自检业绩不予认可。</w:t>
            </w:r>
          </w:p>
          <w:p w14:paraId="4A2D672E">
            <w:pPr>
              <w:pStyle w:val="17"/>
              <w:spacing w:before="11" w:line="219" w:lineRule="auto"/>
              <w:ind w:left="116"/>
              <w:rPr>
                <w:color w:val="auto"/>
              </w:rPr>
            </w:pPr>
            <w:r>
              <w:rPr>
                <w:color w:val="auto"/>
                <w:spacing w:val="0"/>
              </w:rPr>
              <w:t>每个得 6 分，最多 18 分。</w:t>
            </w:r>
          </w:p>
          <w:p w14:paraId="389EC9C4">
            <w:pPr>
              <w:pStyle w:val="17"/>
              <w:spacing w:before="139" w:line="310" w:lineRule="auto"/>
              <w:ind w:left="123" w:right="95" w:hanging="7"/>
              <w:rPr>
                <w:color w:val="auto"/>
              </w:rPr>
            </w:pPr>
            <w:r>
              <w:rPr>
                <w:b/>
                <w:bCs/>
                <w:color w:val="auto"/>
                <w:spacing w:val="0"/>
              </w:rPr>
              <w:t>注：1.</w:t>
            </w:r>
            <w:r>
              <w:rPr>
                <w:rFonts w:hint="eastAsia"/>
                <w:b/>
                <w:bCs/>
                <w:color w:val="auto"/>
                <w:spacing w:val="0"/>
                <w:lang w:val="en-US" w:eastAsia="zh-CN"/>
              </w:rPr>
              <w:t>响应</w:t>
            </w:r>
            <w:r>
              <w:rPr>
                <w:b/>
                <w:bCs/>
                <w:color w:val="auto"/>
                <w:spacing w:val="0"/>
              </w:rPr>
              <w:t>文件中须同时提供以下业绩证明材料：</w:t>
            </w:r>
          </w:p>
          <w:p w14:paraId="0014219A">
            <w:pPr>
              <w:pStyle w:val="17"/>
              <w:spacing w:before="18" w:line="219" w:lineRule="auto"/>
              <w:ind w:left="127"/>
              <w:rPr>
                <w:color w:val="auto"/>
              </w:rPr>
            </w:pPr>
            <w:r>
              <w:rPr>
                <w:b/>
                <w:bCs/>
                <w:color w:val="auto"/>
                <w:spacing w:val="0"/>
              </w:rPr>
              <w:t>（1）业绩合同扫描件；</w:t>
            </w:r>
          </w:p>
          <w:p w14:paraId="4C4CC181">
            <w:pPr>
              <w:pStyle w:val="17"/>
              <w:spacing w:before="137" w:line="311" w:lineRule="auto"/>
              <w:ind w:left="114" w:right="26" w:firstLine="13"/>
              <w:rPr>
                <w:rFonts w:hint="eastAsia" w:ascii="Times New Roman" w:hAnsi="Times New Roman" w:cs="Times New Roman" w:eastAsiaTheme="minorEastAsia"/>
                <w:i w:val="0"/>
                <w:iCs w:val="0"/>
                <w:color w:val="auto"/>
                <w:kern w:val="0"/>
                <w:sz w:val="24"/>
                <w:szCs w:val="24"/>
                <w:highlight w:val="none"/>
                <w:lang w:val="en-US" w:eastAsia="zh-CN"/>
              </w:rPr>
            </w:pPr>
            <w:r>
              <w:rPr>
                <w:b/>
                <w:bCs/>
                <w:color w:val="auto"/>
                <w:spacing w:val="0"/>
              </w:rPr>
              <w:t>（2）与该业绩对应的项目正在履约或已完成的证明材料（如验收报告或业主（或合同甲方）证明）。</w:t>
            </w:r>
          </w:p>
        </w:tc>
      </w:tr>
      <w:permEnd w:id="47"/>
      <w:permEnd w:id="48"/>
      <w:permEnd w:id="49"/>
      <w:tr w14:paraId="6D436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1563528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0" w:edGrp="everyone" w:colFirst="0" w:colLast="0"/>
            <w:permStart w:id="51" w:edGrp="everyone" w:colFirst="1" w:colLast="1"/>
            <w:permStart w:id="52"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645B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技术能力（2分）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D1DFA5">
            <w:pPr>
              <w:pStyle w:val="17"/>
              <w:spacing w:before="138" w:line="309" w:lineRule="auto"/>
              <w:ind w:left="118" w:right="104"/>
              <w:jc w:val="both"/>
              <w:rPr>
                <w:color w:val="auto"/>
              </w:rPr>
            </w:pPr>
            <w:r>
              <w:rPr>
                <w:rFonts w:hint="eastAsia"/>
                <w:color w:val="auto"/>
                <w:spacing w:val="1"/>
                <w:lang w:val="en-US" w:eastAsia="zh-CN"/>
              </w:rPr>
              <w:t>供应商</w:t>
            </w:r>
            <w:r>
              <w:rPr>
                <w:color w:val="auto"/>
                <w:spacing w:val="1"/>
              </w:rPr>
              <w:t>具有中国合格评定国家认可委员会颁发的实验室认可证书（</w:t>
            </w:r>
            <w:r>
              <w:rPr>
                <w:rFonts w:ascii="Times New Roman" w:hAnsi="Times New Roman" w:eastAsia="Times New Roman" w:cs="Times New Roman"/>
                <w:color w:val="auto"/>
              </w:rPr>
              <w:t>CNAS</w:t>
            </w:r>
            <w:r>
              <w:rPr>
                <w:color w:val="auto"/>
                <w:spacing w:val="1"/>
              </w:rPr>
              <w:t>）</w:t>
            </w:r>
            <w:r>
              <w:rPr>
                <w:color w:val="auto"/>
                <w:spacing w:val="-71"/>
              </w:rPr>
              <w:t xml:space="preserve"> </w:t>
            </w:r>
            <w:r>
              <w:rPr>
                <w:color w:val="auto"/>
                <w:spacing w:val="1"/>
              </w:rPr>
              <w:t>的，得</w:t>
            </w:r>
            <w:r>
              <w:rPr>
                <w:color w:val="auto"/>
                <w:spacing w:val="-43"/>
              </w:rPr>
              <w:t xml:space="preserve"> </w:t>
            </w:r>
            <w:r>
              <w:rPr>
                <w:rFonts w:ascii="Times New Roman" w:hAnsi="Times New Roman" w:eastAsia="Times New Roman" w:cs="Times New Roman"/>
                <w:color w:val="auto"/>
                <w:spacing w:val="1"/>
              </w:rPr>
              <w:t>2</w:t>
            </w:r>
            <w:r>
              <w:rPr>
                <w:rFonts w:ascii="Times New Roman" w:hAnsi="Times New Roman" w:eastAsia="Times New Roman" w:cs="Times New Roman"/>
                <w:color w:val="auto"/>
                <w:spacing w:val="21"/>
                <w:w w:val="101"/>
              </w:rPr>
              <w:t xml:space="preserve"> </w:t>
            </w:r>
            <w:r>
              <w:rPr>
                <w:color w:val="auto"/>
                <w:spacing w:val="1"/>
              </w:rPr>
              <w:t>分，本项满</w:t>
            </w:r>
            <w:r>
              <w:rPr>
                <w:color w:val="auto"/>
                <w:spacing w:val="-8"/>
              </w:rPr>
              <w:t>分</w:t>
            </w:r>
            <w:r>
              <w:rPr>
                <w:color w:val="auto"/>
                <w:spacing w:val="-53"/>
              </w:rPr>
              <w:t xml:space="preserve"> </w:t>
            </w:r>
            <w:r>
              <w:rPr>
                <w:rFonts w:ascii="Times New Roman" w:hAnsi="Times New Roman" w:eastAsia="Times New Roman" w:cs="Times New Roman"/>
                <w:color w:val="auto"/>
                <w:spacing w:val="-8"/>
              </w:rPr>
              <w:t>2</w:t>
            </w:r>
            <w:r>
              <w:rPr>
                <w:rFonts w:ascii="Times New Roman" w:hAnsi="Times New Roman" w:eastAsia="Times New Roman" w:cs="Times New Roman"/>
                <w:color w:val="auto"/>
                <w:spacing w:val="12"/>
              </w:rPr>
              <w:t xml:space="preserve"> </w:t>
            </w:r>
            <w:r>
              <w:rPr>
                <w:color w:val="auto"/>
                <w:spacing w:val="-8"/>
              </w:rPr>
              <w:t>分。</w:t>
            </w:r>
          </w:p>
          <w:p w14:paraId="04C1020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b/>
                <w:bCs/>
                <w:color w:val="auto"/>
                <w:spacing w:val="-1"/>
              </w:rPr>
              <w:t>注：须提供证书扫描件及中国合格评定国家认可委员会官方网站</w:t>
            </w:r>
            <w:r>
              <w:rPr>
                <w:b/>
                <w:bCs/>
                <w:color w:val="auto"/>
                <w:spacing w:val="-3"/>
              </w:rPr>
              <w:t>认可的机构名录截图。</w:t>
            </w:r>
          </w:p>
        </w:tc>
      </w:tr>
      <w:permEnd w:id="50"/>
      <w:permEnd w:id="51"/>
      <w:permEnd w:id="52"/>
      <w:tr w14:paraId="17762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6CC78C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color w:val="auto"/>
                <w:kern w:val="0"/>
                <w:sz w:val="24"/>
                <w:szCs w:val="24"/>
                <w:highlight w:val="none"/>
                <w:lang w:val="en-US" w:eastAsia="zh-CN"/>
              </w:rPr>
              <w:t>技术建议书评分标准</w:t>
            </w:r>
          </w:p>
          <w:p w14:paraId="48C589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35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DA6379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color w:val="auto"/>
                <w:spacing w:val="-3"/>
              </w:rPr>
              <w:t>技术方案</w:t>
            </w:r>
            <w:r>
              <w:rPr>
                <w:color w:val="auto"/>
                <w:spacing w:val="-4"/>
              </w:rPr>
              <w:t>和措施</w:t>
            </w:r>
            <w:r>
              <w:rPr>
                <w:rFonts w:hint="eastAsia"/>
                <w:color w:val="auto"/>
                <w:spacing w:val="-4"/>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74FC753">
            <w:pPr>
              <w:pStyle w:val="17"/>
              <w:spacing w:before="141" w:line="308" w:lineRule="auto"/>
              <w:ind w:left="115" w:right="107"/>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5"/>
              </w:rPr>
              <w:t>的现状、重难点分析、检测实施</w:t>
            </w:r>
            <w:r>
              <w:rPr>
                <w:color w:val="auto"/>
                <w:spacing w:val="14"/>
              </w:rPr>
              <w:t>方案等制定科学周密的处置措</w:t>
            </w:r>
            <w:r>
              <w:rPr>
                <w:color w:val="auto"/>
                <w:spacing w:val="-5"/>
              </w:rPr>
              <w:t>施和处理预案，交通组织编制规</w:t>
            </w:r>
            <w:r>
              <w:rPr>
                <w:color w:val="auto"/>
                <w:spacing w:val="-2"/>
              </w:rPr>
              <w:t>范等内容。</w:t>
            </w:r>
          </w:p>
          <w:p w14:paraId="5F7F57DD">
            <w:pPr>
              <w:pStyle w:val="17"/>
              <w:spacing w:before="20" w:line="326" w:lineRule="auto"/>
              <w:ind w:left="119" w:right="600" w:hanging="4"/>
              <w:jc w:val="both"/>
              <w:rPr>
                <w:color w:val="auto"/>
              </w:rPr>
            </w:pPr>
            <w:r>
              <w:rPr>
                <w:color w:val="auto"/>
                <w:spacing w:val="11"/>
              </w:rPr>
              <w:t>优秀的，得</w:t>
            </w:r>
            <w:r>
              <w:rPr>
                <w:color w:val="auto"/>
                <w:spacing w:val="-45"/>
              </w:rPr>
              <w:t xml:space="preserve"> </w:t>
            </w:r>
            <w:r>
              <w:rPr>
                <w:rFonts w:ascii="Times New Roman" w:hAnsi="Times New Roman" w:eastAsia="Times New Roman" w:cs="Times New Roman"/>
                <w:color w:val="auto"/>
                <w:spacing w:val="11"/>
              </w:rPr>
              <w:t>7</w:t>
            </w:r>
            <w:r>
              <w:rPr>
                <w:color w:val="auto"/>
                <w:spacing w:val="11"/>
              </w:rPr>
              <w:t>&lt;F≤</w:t>
            </w:r>
            <w:r>
              <w:rPr>
                <w:rFonts w:ascii="Times New Roman" w:hAnsi="Times New Roman" w:eastAsia="Times New Roman" w:cs="Times New Roman"/>
                <w:color w:val="auto"/>
                <w:spacing w:val="11"/>
              </w:rPr>
              <w:t xml:space="preserve">10 </w:t>
            </w:r>
            <w:r>
              <w:rPr>
                <w:color w:val="auto"/>
                <w:spacing w:val="11"/>
              </w:rPr>
              <w:t>分；</w:t>
            </w:r>
            <w:r>
              <w:rPr>
                <w:color w:val="auto"/>
                <w:spacing w:val="16"/>
              </w:rPr>
              <w:t>良好的，得</w:t>
            </w:r>
            <w:r>
              <w:rPr>
                <w:color w:val="auto"/>
                <w:spacing w:val="-43"/>
              </w:rPr>
              <w:t xml:space="preserve"> </w:t>
            </w:r>
            <w:r>
              <w:rPr>
                <w:rFonts w:ascii="Times New Roman" w:hAnsi="Times New Roman" w:eastAsia="Times New Roman" w:cs="Times New Roman"/>
                <w:color w:val="auto"/>
                <w:spacing w:val="16"/>
              </w:rPr>
              <w:t>3</w:t>
            </w:r>
            <w:r>
              <w:rPr>
                <w:color w:val="auto"/>
                <w:spacing w:val="16"/>
              </w:rPr>
              <w:t>&lt;F≤</w:t>
            </w:r>
            <w:r>
              <w:rPr>
                <w:rFonts w:ascii="Times New Roman" w:hAnsi="Times New Roman" w:eastAsia="Times New Roman" w:cs="Times New Roman"/>
                <w:color w:val="auto"/>
                <w:spacing w:val="16"/>
              </w:rPr>
              <w:t xml:space="preserve">7 </w:t>
            </w:r>
            <w:r>
              <w:rPr>
                <w:color w:val="auto"/>
                <w:spacing w:val="16"/>
              </w:rPr>
              <w:t>分；</w:t>
            </w:r>
            <w:r>
              <w:rPr>
                <w:color w:val="auto"/>
                <w:spacing w:val="-4"/>
              </w:rPr>
              <w:t>一般的，得</w:t>
            </w:r>
            <w:r>
              <w:rPr>
                <w:color w:val="auto"/>
                <w:spacing w:val="-32"/>
              </w:rPr>
              <w:t xml:space="preserve"> </w:t>
            </w:r>
            <w:r>
              <w:rPr>
                <w:rFonts w:ascii="Times New Roman" w:hAnsi="Times New Roman" w:eastAsia="Times New Roman" w:cs="Times New Roman"/>
                <w:color w:val="auto"/>
                <w:spacing w:val="-4"/>
              </w:rPr>
              <w:t>1</w:t>
            </w:r>
            <w:r>
              <w:rPr>
                <w:color w:val="auto"/>
                <w:spacing w:val="-4"/>
              </w:rPr>
              <w:t>≤</w:t>
            </w:r>
            <w:r>
              <w:rPr>
                <w:color w:val="auto"/>
                <w:spacing w:val="-69"/>
              </w:rPr>
              <w:t xml:space="preserve"> </w:t>
            </w:r>
            <w:r>
              <w:rPr>
                <w:color w:val="auto"/>
                <w:spacing w:val="-4"/>
              </w:rPr>
              <w:t>F</w:t>
            </w:r>
            <w:r>
              <w:rPr>
                <w:color w:val="auto"/>
                <w:spacing w:val="-42"/>
              </w:rPr>
              <w:t xml:space="preserve"> </w:t>
            </w:r>
            <w:r>
              <w:rPr>
                <w:color w:val="auto"/>
                <w:spacing w:val="-4"/>
              </w:rPr>
              <w:t>≤</w:t>
            </w:r>
            <w:r>
              <w:rPr>
                <w:rFonts w:ascii="Times New Roman" w:hAnsi="Times New Roman" w:eastAsia="Times New Roman" w:cs="Times New Roman"/>
                <w:color w:val="auto"/>
                <w:spacing w:val="-4"/>
              </w:rPr>
              <w:t xml:space="preserve">3 </w:t>
            </w:r>
            <w:r>
              <w:rPr>
                <w:color w:val="auto"/>
                <w:spacing w:val="-4"/>
              </w:rPr>
              <w:t>分；</w:t>
            </w:r>
          </w:p>
          <w:p w14:paraId="104912B7">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rFonts w:hint="default" w:ascii="Times New Roman" w:hAnsi="Times New Roman" w:cs="Times New Roman"/>
                <w:i w:val="0"/>
                <w:iCs w:val="0"/>
                <w:color w:val="auto"/>
                <w:kern w:val="0"/>
                <w:sz w:val="24"/>
                <w:szCs w:val="24"/>
                <w:highlight w:val="none"/>
                <w:lang w:val="en-US" w:eastAsia="zh-CN"/>
              </w:rPr>
            </w:pPr>
            <w:r>
              <w:rPr>
                <w:color w:val="auto"/>
                <w:spacing w:val="13"/>
              </w:rPr>
              <w:t>无此方案或此方案不具备可操</w:t>
            </w:r>
            <w:r>
              <w:rPr>
                <w:color w:val="auto"/>
                <w:spacing w:val="-3"/>
              </w:rPr>
              <w:t>作性的得</w:t>
            </w:r>
            <w:r>
              <w:rPr>
                <w:color w:val="auto"/>
                <w:spacing w:val="-48"/>
              </w:rPr>
              <w:t xml:space="preserve"> </w:t>
            </w:r>
            <w:r>
              <w:rPr>
                <w:rFonts w:ascii="Times New Roman" w:hAnsi="Times New Roman" w:eastAsia="Times New Roman" w:cs="Times New Roman"/>
                <w:color w:val="auto"/>
                <w:spacing w:val="-3"/>
              </w:rPr>
              <w:t xml:space="preserve">0 </w:t>
            </w:r>
            <w:r>
              <w:rPr>
                <w:color w:val="auto"/>
                <w:spacing w:val="-3"/>
              </w:rPr>
              <w:t>分。</w:t>
            </w:r>
          </w:p>
        </w:tc>
      </w:tr>
      <w:permEnd w:id="53"/>
      <w:permEnd w:id="54"/>
      <w:permEnd w:id="55"/>
      <w:tr w14:paraId="5DE959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2E0D1D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6" w:edGrp="everyone" w:colFirst="1" w:colLast="1"/>
            <w:permStart w:id="5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3A5A4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iCs/>
                <w:color w:val="auto"/>
                <w:kern w:val="0"/>
                <w:sz w:val="24"/>
                <w:szCs w:val="24"/>
                <w:highlight w:val="none"/>
                <w:u w:val="single"/>
                <w:lang w:val="en-US" w:eastAsia="zh-CN"/>
              </w:rPr>
            </w:pPr>
            <w:r>
              <w:rPr>
                <w:color w:val="auto"/>
                <w:spacing w:val="-3"/>
              </w:rPr>
              <w:t>质量保证</w:t>
            </w:r>
            <w:r>
              <w:rPr>
                <w:color w:val="auto"/>
                <w:spacing w:val="-5"/>
              </w:rPr>
              <w:t>措施</w:t>
            </w:r>
            <w:r>
              <w:rPr>
                <w:rFonts w:hint="eastAsia"/>
                <w:color w:val="auto"/>
                <w:spacing w:val="-5"/>
                <w:lang w:eastAsia="zh-CN"/>
              </w:rPr>
              <w:t>（</w:t>
            </w:r>
            <w:r>
              <w:rPr>
                <w:rFonts w:hint="eastAsia"/>
                <w:color w:val="auto"/>
                <w:spacing w:val="-5"/>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03D081">
            <w:pPr>
              <w:pStyle w:val="17"/>
              <w:spacing w:before="120" w:line="307" w:lineRule="auto"/>
              <w:ind w:left="116" w:right="107"/>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5"/>
              </w:rPr>
              <w:t>的施工路径、施工方法、人员设</w:t>
            </w:r>
            <w:r>
              <w:rPr>
                <w:color w:val="auto"/>
                <w:spacing w:val="13"/>
              </w:rPr>
              <w:t>备配置等检测实施方案的质量</w:t>
            </w:r>
            <w:r>
              <w:rPr>
                <w:color w:val="auto"/>
                <w:spacing w:val="-3"/>
              </w:rPr>
              <w:t>保证措施。</w:t>
            </w:r>
          </w:p>
          <w:p w14:paraId="5BBC458A">
            <w:pPr>
              <w:pStyle w:val="17"/>
              <w:spacing w:before="2" w:line="307" w:lineRule="auto"/>
              <w:ind w:left="119" w:right="840" w:hanging="4"/>
              <w:jc w:val="both"/>
              <w:rPr>
                <w:color w:val="auto"/>
              </w:rPr>
            </w:pPr>
            <w:r>
              <w:rPr>
                <w:color w:val="auto"/>
                <w:spacing w:val="14"/>
              </w:rPr>
              <w:t>优秀的，得</w:t>
            </w:r>
            <w:r>
              <w:rPr>
                <w:rFonts w:ascii="Times New Roman" w:hAnsi="Times New Roman" w:eastAsia="Times New Roman" w:cs="Times New Roman"/>
                <w:color w:val="auto"/>
                <w:spacing w:val="14"/>
              </w:rPr>
              <w:t>3</w:t>
            </w:r>
            <w:r>
              <w:rPr>
                <w:color w:val="auto"/>
                <w:spacing w:val="14"/>
              </w:rPr>
              <w:t>&lt;F≤</w:t>
            </w:r>
            <w:r>
              <w:rPr>
                <w:rFonts w:ascii="Times New Roman" w:hAnsi="Times New Roman" w:eastAsia="Times New Roman" w:cs="Times New Roman"/>
                <w:color w:val="auto"/>
                <w:spacing w:val="14"/>
              </w:rPr>
              <w:t>5</w:t>
            </w:r>
            <w:r>
              <w:rPr>
                <w:color w:val="auto"/>
                <w:spacing w:val="14"/>
              </w:rPr>
              <w:t>分；</w:t>
            </w:r>
            <w:r>
              <w:rPr>
                <w:color w:val="auto"/>
                <w:spacing w:val="13"/>
              </w:rPr>
              <w:t>良好的，得</w:t>
            </w:r>
            <w:r>
              <w:rPr>
                <w:rFonts w:ascii="Times New Roman" w:hAnsi="Times New Roman" w:eastAsia="Times New Roman" w:cs="Times New Roman"/>
                <w:color w:val="auto"/>
                <w:spacing w:val="13"/>
              </w:rPr>
              <w:t>2</w:t>
            </w:r>
            <w:r>
              <w:rPr>
                <w:color w:val="auto"/>
                <w:spacing w:val="13"/>
              </w:rPr>
              <w:t>&lt;F≤</w:t>
            </w:r>
            <w:r>
              <w:rPr>
                <w:rFonts w:ascii="Times New Roman" w:hAnsi="Times New Roman" w:eastAsia="Times New Roman" w:cs="Times New Roman"/>
                <w:color w:val="auto"/>
                <w:spacing w:val="13"/>
              </w:rPr>
              <w:t>3</w:t>
            </w:r>
            <w:r>
              <w:rPr>
                <w:color w:val="auto"/>
                <w:spacing w:val="13"/>
              </w:rPr>
              <w:t>分；</w:t>
            </w:r>
            <w:r>
              <w:rPr>
                <w:color w:val="auto"/>
                <w:spacing w:val="3"/>
              </w:rPr>
              <w:t>一般的，得</w:t>
            </w:r>
            <w:r>
              <w:rPr>
                <w:rFonts w:ascii="Times New Roman" w:hAnsi="Times New Roman" w:eastAsia="Times New Roman" w:cs="Times New Roman"/>
                <w:color w:val="auto"/>
                <w:spacing w:val="3"/>
              </w:rPr>
              <w:t>1</w:t>
            </w:r>
            <w:r>
              <w:rPr>
                <w:color w:val="auto"/>
                <w:spacing w:val="3"/>
              </w:rPr>
              <w:t>≤F≤</w:t>
            </w:r>
            <w:r>
              <w:rPr>
                <w:rFonts w:ascii="Times New Roman" w:hAnsi="Times New Roman" w:eastAsia="Times New Roman" w:cs="Times New Roman"/>
                <w:color w:val="auto"/>
                <w:spacing w:val="3"/>
              </w:rPr>
              <w:t>2</w:t>
            </w:r>
            <w:r>
              <w:rPr>
                <w:color w:val="auto"/>
                <w:spacing w:val="3"/>
              </w:rPr>
              <w:t>分；</w:t>
            </w:r>
          </w:p>
          <w:p w14:paraId="5B9984B4">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color w:val="auto"/>
                <w:spacing w:val="13"/>
              </w:rPr>
              <w:t>无此方案或此方案不具备可操</w:t>
            </w:r>
            <w:r>
              <w:rPr>
                <w:color w:val="auto"/>
                <w:spacing w:val="-2"/>
              </w:rPr>
              <w:t>作性的得</w:t>
            </w:r>
            <w:r>
              <w:rPr>
                <w:rFonts w:ascii="Times New Roman" w:hAnsi="Times New Roman" w:eastAsia="Times New Roman" w:cs="Times New Roman"/>
                <w:color w:val="auto"/>
                <w:spacing w:val="-2"/>
              </w:rPr>
              <w:t>0</w:t>
            </w:r>
            <w:r>
              <w:rPr>
                <w:color w:val="auto"/>
                <w:spacing w:val="-2"/>
              </w:rPr>
              <w:t>分。</w:t>
            </w:r>
          </w:p>
        </w:tc>
      </w:tr>
      <w:permEnd w:id="56"/>
      <w:permEnd w:id="57"/>
      <w:tr w14:paraId="21DC26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0E5F9E2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8" w:edGrp="everyone" w:colFirst="1" w:colLast="1"/>
            <w:permStart w:id="59"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EA13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iCs/>
                <w:color w:val="auto"/>
                <w:kern w:val="0"/>
                <w:sz w:val="24"/>
                <w:szCs w:val="24"/>
                <w:highlight w:val="none"/>
                <w:u w:val="single"/>
                <w:lang w:val="en-US" w:eastAsia="zh-CN"/>
              </w:rPr>
            </w:pPr>
            <w:r>
              <w:rPr>
                <w:color w:val="auto"/>
                <w:spacing w:val="-2"/>
              </w:rPr>
              <w:t>进度保证</w:t>
            </w:r>
            <w:r>
              <w:rPr>
                <w:color w:val="auto"/>
                <w:spacing w:val="-5"/>
              </w:rPr>
              <w:t>措施</w:t>
            </w:r>
            <w:r>
              <w:rPr>
                <w:rFonts w:hint="eastAsia"/>
                <w:color w:val="auto"/>
                <w:spacing w:val="-5"/>
                <w:lang w:eastAsia="zh-CN"/>
              </w:rPr>
              <w:t>（</w:t>
            </w:r>
            <w:r>
              <w:rPr>
                <w:rFonts w:hint="eastAsia"/>
                <w:color w:val="auto"/>
                <w:spacing w:val="-5"/>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39877B">
            <w:pPr>
              <w:pStyle w:val="17"/>
              <w:spacing w:before="143" w:line="309" w:lineRule="auto"/>
              <w:ind w:left="116" w:right="107"/>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5"/>
              </w:rPr>
              <w:t>的工作计划安排、人员配置等检</w:t>
            </w:r>
            <w:r>
              <w:rPr>
                <w:color w:val="auto"/>
                <w:spacing w:val="13"/>
              </w:rPr>
              <w:t>测实施方案的进度保证措施进</w:t>
            </w:r>
            <w:r>
              <w:rPr>
                <w:color w:val="auto"/>
                <w:spacing w:val="-3"/>
              </w:rPr>
              <w:t>行打分。</w:t>
            </w:r>
          </w:p>
          <w:p w14:paraId="6FD8F4B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color w:val="auto"/>
                <w:spacing w:val="1"/>
              </w:rPr>
            </w:pPr>
            <w:r>
              <w:rPr>
                <w:color w:val="auto"/>
              </w:rPr>
              <w:t>优秀的，得</w:t>
            </w:r>
            <w:r>
              <w:rPr>
                <w:color w:val="auto"/>
                <w:spacing w:val="-50"/>
              </w:rPr>
              <w:t xml:space="preserve"> </w:t>
            </w:r>
            <w:r>
              <w:rPr>
                <w:rFonts w:ascii="Times New Roman" w:hAnsi="Times New Roman" w:eastAsia="Times New Roman" w:cs="Times New Roman"/>
                <w:color w:val="auto"/>
              </w:rPr>
              <w:t>3</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5 </w:t>
            </w:r>
            <w:r>
              <w:rPr>
                <w:color w:val="auto"/>
              </w:rPr>
              <w:t>分；良好的，得</w:t>
            </w:r>
            <w:r>
              <w:rPr>
                <w:color w:val="auto"/>
                <w:spacing w:val="-55"/>
              </w:rPr>
              <w:t xml:space="preserve"> </w:t>
            </w:r>
            <w:r>
              <w:rPr>
                <w:rFonts w:ascii="Times New Roman" w:hAnsi="Times New Roman" w:eastAsia="Times New Roman" w:cs="Times New Roman"/>
                <w:color w:val="auto"/>
              </w:rPr>
              <w:t>2</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3 </w:t>
            </w:r>
            <w:r>
              <w:rPr>
                <w:color w:val="auto"/>
              </w:rPr>
              <w:t>分；</w:t>
            </w:r>
            <w:r>
              <w:rPr>
                <w:color w:val="auto"/>
                <w:spacing w:val="1"/>
              </w:rPr>
              <w:t>一般的，得</w:t>
            </w:r>
            <w:r>
              <w:rPr>
                <w:color w:val="auto"/>
                <w:spacing w:val="-29"/>
              </w:rPr>
              <w:t xml:space="preserve"> </w:t>
            </w:r>
            <w:r>
              <w:rPr>
                <w:rFonts w:ascii="Times New Roman" w:hAnsi="Times New Roman" w:eastAsia="Times New Roman" w:cs="Times New Roman"/>
                <w:color w:val="auto"/>
                <w:spacing w:val="1"/>
              </w:rPr>
              <w:t>1</w:t>
            </w:r>
            <w:r>
              <w:rPr>
                <w:color w:val="auto"/>
                <w:spacing w:val="1"/>
              </w:rPr>
              <w:t>≤F≤</w:t>
            </w:r>
            <w:r>
              <w:rPr>
                <w:rFonts w:ascii="Times New Roman" w:hAnsi="Times New Roman" w:eastAsia="Times New Roman" w:cs="Times New Roman"/>
                <w:color w:val="auto"/>
                <w:spacing w:val="1"/>
              </w:rPr>
              <w:t xml:space="preserve">2 </w:t>
            </w:r>
            <w:r>
              <w:rPr>
                <w:color w:val="auto"/>
                <w:spacing w:val="1"/>
              </w:rPr>
              <w:t>分；</w:t>
            </w:r>
          </w:p>
          <w:p w14:paraId="60550280">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color w:val="auto"/>
                <w:spacing w:val="13"/>
              </w:rPr>
              <w:t>无此方案或此方案不具备可操</w:t>
            </w:r>
            <w:r>
              <w:rPr>
                <w:color w:val="auto"/>
                <w:spacing w:val="-3"/>
              </w:rPr>
              <w:t>作性的得</w:t>
            </w:r>
            <w:r>
              <w:rPr>
                <w:color w:val="auto"/>
                <w:spacing w:val="-48"/>
              </w:rPr>
              <w:t xml:space="preserve"> </w:t>
            </w:r>
            <w:r>
              <w:rPr>
                <w:rFonts w:ascii="Times New Roman" w:hAnsi="Times New Roman" w:eastAsia="Times New Roman" w:cs="Times New Roman"/>
                <w:color w:val="auto"/>
                <w:spacing w:val="-3"/>
              </w:rPr>
              <w:t xml:space="preserve">0 </w:t>
            </w:r>
            <w:r>
              <w:rPr>
                <w:color w:val="auto"/>
                <w:spacing w:val="-3"/>
              </w:rPr>
              <w:t>分。</w:t>
            </w:r>
          </w:p>
        </w:tc>
      </w:tr>
      <w:permEnd w:id="58"/>
      <w:permEnd w:id="59"/>
      <w:tr w14:paraId="70E49B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5BCEBA6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0" w:edGrp="everyone" w:colFirst="0" w:colLast="0"/>
            <w:permStart w:id="61" w:edGrp="everyone" w:colFirst="1" w:colLast="1"/>
            <w:permStart w:id="62"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98C4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color w:val="auto"/>
                <w:spacing w:val="-4"/>
              </w:rPr>
              <w:t>安全保证</w:t>
            </w:r>
            <w:r>
              <w:rPr>
                <w:color w:val="auto"/>
                <w:spacing w:val="-5"/>
              </w:rPr>
              <w:t>措施</w:t>
            </w:r>
            <w:r>
              <w:rPr>
                <w:rFonts w:hint="eastAsia"/>
                <w:color w:val="auto"/>
                <w:spacing w:val="-5"/>
                <w:lang w:val="en-US" w:eastAsia="zh-CN"/>
              </w:rPr>
              <w:t>(5)</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880A65">
            <w:pPr>
              <w:pStyle w:val="17"/>
              <w:spacing w:before="139" w:line="309" w:lineRule="auto"/>
              <w:ind w:left="120" w:right="107" w:hanging="4"/>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5"/>
              </w:rPr>
              <w:t>的安全体系、安全规章制度、人</w:t>
            </w:r>
            <w:r>
              <w:rPr>
                <w:color w:val="auto"/>
                <w:spacing w:val="13"/>
              </w:rPr>
              <w:t>员安全管理等检测实施方案的</w:t>
            </w:r>
            <w:r>
              <w:rPr>
                <w:color w:val="auto"/>
                <w:spacing w:val="-2"/>
              </w:rPr>
              <w:t>安全保证措施进行对比打分。</w:t>
            </w:r>
          </w:p>
          <w:p w14:paraId="017545AB">
            <w:pPr>
              <w:pStyle w:val="17"/>
              <w:spacing w:before="19" w:line="326" w:lineRule="auto"/>
              <w:ind w:left="119" w:right="720" w:hanging="4"/>
              <w:jc w:val="both"/>
              <w:rPr>
                <w:color w:val="auto"/>
              </w:rPr>
            </w:pPr>
            <w:r>
              <w:rPr>
                <w:color w:val="auto"/>
              </w:rPr>
              <w:t>优秀的，得</w:t>
            </w:r>
            <w:r>
              <w:rPr>
                <w:color w:val="auto"/>
                <w:spacing w:val="-50"/>
              </w:rPr>
              <w:t xml:space="preserve"> </w:t>
            </w:r>
            <w:r>
              <w:rPr>
                <w:rFonts w:ascii="Times New Roman" w:hAnsi="Times New Roman" w:eastAsia="Times New Roman" w:cs="Times New Roman"/>
                <w:color w:val="auto"/>
              </w:rPr>
              <w:t>3</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5 </w:t>
            </w:r>
            <w:r>
              <w:rPr>
                <w:color w:val="auto"/>
              </w:rPr>
              <w:t>分；良好的，得</w:t>
            </w:r>
            <w:r>
              <w:rPr>
                <w:color w:val="auto"/>
                <w:spacing w:val="-55"/>
              </w:rPr>
              <w:t xml:space="preserve"> </w:t>
            </w:r>
            <w:r>
              <w:rPr>
                <w:rFonts w:ascii="Times New Roman" w:hAnsi="Times New Roman" w:eastAsia="Times New Roman" w:cs="Times New Roman"/>
                <w:color w:val="auto"/>
              </w:rPr>
              <w:t>2</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3 </w:t>
            </w:r>
            <w:r>
              <w:rPr>
                <w:color w:val="auto"/>
              </w:rPr>
              <w:t>分；</w:t>
            </w:r>
            <w:r>
              <w:rPr>
                <w:color w:val="auto"/>
                <w:spacing w:val="1"/>
              </w:rPr>
              <w:t>一般的，得</w:t>
            </w:r>
            <w:r>
              <w:rPr>
                <w:color w:val="auto"/>
                <w:spacing w:val="-29"/>
              </w:rPr>
              <w:t xml:space="preserve"> </w:t>
            </w:r>
            <w:r>
              <w:rPr>
                <w:rFonts w:ascii="Times New Roman" w:hAnsi="Times New Roman" w:eastAsia="Times New Roman" w:cs="Times New Roman"/>
                <w:color w:val="auto"/>
                <w:spacing w:val="1"/>
              </w:rPr>
              <w:t>1</w:t>
            </w:r>
            <w:r>
              <w:rPr>
                <w:color w:val="auto"/>
                <w:spacing w:val="1"/>
              </w:rPr>
              <w:t>≤F≤</w:t>
            </w:r>
            <w:r>
              <w:rPr>
                <w:rFonts w:ascii="Times New Roman" w:hAnsi="Times New Roman" w:eastAsia="Times New Roman" w:cs="Times New Roman"/>
                <w:color w:val="auto"/>
                <w:spacing w:val="1"/>
              </w:rPr>
              <w:t xml:space="preserve">2 </w:t>
            </w:r>
            <w:r>
              <w:rPr>
                <w:color w:val="auto"/>
                <w:spacing w:val="1"/>
              </w:rPr>
              <w:t>分；</w:t>
            </w:r>
          </w:p>
          <w:p w14:paraId="52A97BA6">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rFonts w:hint="default" w:ascii="Times New Roman" w:hAnsi="Times New Roman" w:cs="Times New Roman"/>
                <w:i w:val="0"/>
                <w:iCs w:val="0"/>
                <w:color w:val="auto"/>
                <w:kern w:val="0"/>
                <w:sz w:val="24"/>
                <w:szCs w:val="24"/>
                <w:highlight w:val="none"/>
                <w:lang w:val="en-US" w:eastAsia="zh-CN"/>
              </w:rPr>
            </w:pPr>
            <w:r>
              <w:rPr>
                <w:color w:val="auto"/>
                <w:spacing w:val="13"/>
              </w:rPr>
              <w:t>无此方案或此方案不具备可操</w:t>
            </w:r>
            <w:r>
              <w:rPr>
                <w:color w:val="auto"/>
                <w:spacing w:val="-3"/>
              </w:rPr>
              <w:t>作性的得</w:t>
            </w:r>
            <w:r>
              <w:rPr>
                <w:color w:val="auto"/>
                <w:spacing w:val="-48"/>
              </w:rPr>
              <w:t xml:space="preserve"> </w:t>
            </w:r>
            <w:r>
              <w:rPr>
                <w:rFonts w:ascii="Times New Roman" w:hAnsi="Times New Roman" w:eastAsia="Times New Roman" w:cs="Times New Roman"/>
                <w:color w:val="auto"/>
                <w:spacing w:val="-3"/>
              </w:rPr>
              <w:t xml:space="preserve">0 </w:t>
            </w:r>
            <w:r>
              <w:rPr>
                <w:color w:val="auto"/>
                <w:spacing w:val="-3"/>
              </w:rPr>
              <w:t>分。</w:t>
            </w:r>
          </w:p>
        </w:tc>
      </w:tr>
      <w:permEnd w:id="60"/>
      <w:permEnd w:id="61"/>
      <w:permEnd w:id="62"/>
      <w:tr w14:paraId="4C791F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37DCC7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CE1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eastAsiaTheme="minorEastAsia"/>
                <w:color w:val="auto"/>
                <w:spacing w:val="-4"/>
                <w:lang w:val="en-US" w:eastAsia="zh-CN"/>
              </w:rPr>
            </w:pPr>
            <w:r>
              <w:rPr>
                <w:color w:val="auto"/>
                <w:spacing w:val="-3"/>
              </w:rPr>
              <w:t>后续服务</w:t>
            </w:r>
            <w:r>
              <w:rPr>
                <w:color w:val="auto"/>
                <w:spacing w:val="-4"/>
              </w:rPr>
              <w:t>工作安排</w:t>
            </w:r>
            <w:r>
              <w:rPr>
                <w:rFonts w:hint="eastAsia"/>
                <w:color w:val="auto"/>
                <w:spacing w:val="-4"/>
                <w:lang w:eastAsia="zh-CN"/>
              </w:rPr>
              <w:t>（</w:t>
            </w:r>
            <w:r>
              <w:rPr>
                <w:rFonts w:hint="eastAsia"/>
                <w:color w:val="auto"/>
                <w:spacing w:val="-4"/>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9662F8">
            <w:pPr>
              <w:pStyle w:val="17"/>
              <w:spacing w:before="139" w:line="309" w:lineRule="auto"/>
              <w:ind w:left="118" w:right="107" w:hanging="2"/>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5"/>
              </w:rPr>
              <w:t>的项目后续服务措施完善，能够充分满足本项目要求，进行对比打分。</w:t>
            </w:r>
          </w:p>
          <w:p w14:paraId="4E22F70E">
            <w:pPr>
              <w:pStyle w:val="17"/>
              <w:spacing w:before="19" w:line="326" w:lineRule="auto"/>
              <w:ind w:left="119" w:right="720" w:hanging="4"/>
              <w:jc w:val="both"/>
              <w:rPr>
                <w:color w:val="auto"/>
              </w:rPr>
            </w:pPr>
            <w:r>
              <w:rPr>
                <w:color w:val="auto"/>
              </w:rPr>
              <w:t>优秀的，得</w:t>
            </w:r>
            <w:r>
              <w:rPr>
                <w:color w:val="auto"/>
                <w:spacing w:val="-50"/>
              </w:rPr>
              <w:t xml:space="preserve"> </w:t>
            </w:r>
            <w:r>
              <w:rPr>
                <w:rFonts w:ascii="Times New Roman" w:hAnsi="Times New Roman" w:eastAsia="Times New Roman" w:cs="Times New Roman"/>
                <w:color w:val="auto"/>
              </w:rPr>
              <w:t>3</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5 </w:t>
            </w:r>
            <w:r>
              <w:rPr>
                <w:color w:val="auto"/>
              </w:rPr>
              <w:t>分；良好的，得</w:t>
            </w:r>
            <w:r>
              <w:rPr>
                <w:color w:val="auto"/>
                <w:spacing w:val="-55"/>
              </w:rPr>
              <w:t xml:space="preserve"> </w:t>
            </w:r>
            <w:r>
              <w:rPr>
                <w:rFonts w:ascii="Times New Roman" w:hAnsi="Times New Roman" w:eastAsia="Times New Roman" w:cs="Times New Roman"/>
                <w:color w:val="auto"/>
              </w:rPr>
              <w:t>2</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3 </w:t>
            </w:r>
            <w:r>
              <w:rPr>
                <w:color w:val="auto"/>
              </w:rPr>
              <w:t>分；</w:t>
            </w:r>
            <w:r>
              <w:rPr>
                <w:color w:val="auto"/>
                <w:spacing w:val="1"/>
              </w:rPr>
              <w:t>一般的，得</w:t>
            </w:r>
            <w:r>
              <w:rPr>
                <w:color w:val="auto"/>
                <w:spacing w:val="-29"/>
              </w:rPr>
              <w:t xml:space="preserve"> </w:t>
            </w:r>
            <w:r>
              <w:rPr>
                <w:rFonts w:ascii="Times New Roman" w:hAnsi="Times New Roman" w:eastAsia="Times New Roman" w:cs="Times New Roman"/>
                <w:color w:val="auto"/>
                <w:spacing w:val="1"/>
              </w:rPr>
              <w:t>1</w:t>
            </w:r>
            <w:r>
              <w:rPr>
                <w:color w:val="auto"/>
                <w:spacing w:val="1"/>
              </w:rPr>
              <w:t>≤F≤</w:t>
            </w:r>
            <w:r>
              <w:rPr>
                <w:rFonts w:ascii="Times New Roman" w:hAnsi="Times New Roman" w:eastAsia="Times New Roman" w:cs="Times New Roman"/>
                <w:color w:val="auto"/>
                <w:spacing w:val="1"/>
              </w:rPr>
              <w:t xml:space="preserve">2 </w:t>
            </w:r>
            <w:r>
              <w:rPr>
                <w:color w:val="auto"/>
                <w:spacing w:val="1"/>
              </w:rPr>
              <w:t>分；</w:t>
            </w:r>
          </w:p>
          <w:p w14:paraId="06B94B12">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color w:val="auto"/>
                <w:spacing w:val="13"/>
              </w:rPr>
            </w:pPr>
            <w:r>
              <w:rPr>
                <w:color w:val="auto"/>
                <w:spacing w:val="13"/>
              </w:rPr>
              <w:t>无此方案或此方案不具备可操</w:t>
            </w:r>
            <w:r>
              <w:rPr>
                <w:color w:val="auto"/>
                <w:spacing w:val="-3"/>
              </w:rPr>
              <w:t>作性的得</w:t>
            </w:r>
            <w:r>
              <w:rPr>
                <w:color w:val="auto"/>
                <w:spacing w:val="-48"/>
              </w:rPr>
              <w:t xml:space="preserve"> </w:t>
            </w:r>
            <w:r>
              <w:rPr>
                <w:rFonts w:ascii="Times New Roman" w:hAnsi="Times New Roman" w:eastAsia="Times New Roman" w:cs="Times New Roman"/>
                <w:color w:val="auto"/>
                <w:spacing w:val="-3"/>
              </w:rPr>
              <w:t xml:space="preserve">0 </w:t>
            </w:r>
            <w:r>
              <w:rPr>
                <w:color w:val="auto"/>
                <w:spacing w:val="-3"/>
              </w:rPr>
              <w:t>分。</w:t>
            </w:r>
          </w:p>
        </w:tc>
      </w:tr>
      <w:tr w14:paraId="7D0242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718FF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D337C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eastAsiaTheme="minorEastAsia"/>
                <w:color w:val="auto"/>
                <w:spacing w:val="-3"/>
                <w:lang w:val="en-US" w:eastAsia="zh-CN"/>
              </w:rPr>
            </w:pPr>
            <w:r>
              <w:rPr>
                <w:color w:val="auto"/>
                <w:spacing w:val="-3"/>
              </w:rPr>
              <w:t>对本项目</w:t>
            </w:r>
            <w:r>
              <w:rPr>
                <w:color w:val="auto"/>
                <w:spacing w:val="-10"/>
              </w:rPr>
              <w:t>的建议</w:t>
            </w:r>
            <w:r>
              <w:rPr>
                <w:rFonts w:hint="eastAsia"/>
                <w:color w:val="auto"/>
                <w:spacing w:val="-10"/>
                <w:lang w:eastAsia="zh-CN"/>
              </w:rPr>
              <w:t>（</w:t>
            </w:r>
            <w:r>
              <w:rPr>
                <w:rFonts w:hint="eastAsia"/>
                <w:color w:val="auto"/>
                <w:spacing w:val="-10"/>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B7A6AD">
            <w:pPr>
              <w:pStyle w:val="17"/>
              <w:spacing w:before="115" w:line="309" w:lineRule="auto"/>
              <w:ind w:left="116" w:right="26"/>
              <w:jc w:val="both"/>
              <w:rPr>
                <w:color w:val="auto"/>
              </w:rPr>
            </w:pPr>
            <w:r>
              <w:rPr>
                <w:color w:val="auto"/>
                <w:spacing w:val="8"/>
              </w:rPr>
              <w:t>根据各</w:t>
            </w:r>
            <w:r>
              <w:rPr>
                <w:rFonts w:hint="eastAsia"/>
                <w:color w:val="auto"/>
                <w:spacing w:val="8"/>
                <w:lang w:val="en-US" w:eastAsia="zh-CN"/>
              </w:rPr>
              <w:t>供应商</w:t>
            </w:r>
            <w:r>
              <w:rPr>
                <w:color w:val="auto"/>
                <w:spacing w:val="8"/>
              </w:rPr>
              <w:t>针对本项目提出</w:t>
            </w:r>
            <w:r>
              <w:rPr>
                <w:color w:val="auto"/>
                <w:spacing w:val="-15"/>
              </w:rPr>
              <w:t>的相关建议合理、适用、针对性、</w:t>
            </w:r>
            <w:r>
              <w:rPr>
                <w:color w:val="auto"/>
                <w:spacing w:val="-5"/>
              </w:rPr>
              <w:t>可操作性，能够为后续提高桥梁养护效果、桥梁技术状况评价指</w:t>
            </w:r>
            <w:r>
              <w:rPr>
                <w:color w:val="auto"/>
                <w:spacing w:val="-1"/>
              </w:rPr>
              <w:t>标的建议，进行对比打分。</w:t>
            </w:r>
          </w:p>
          <w:p w14:paraId="6B701B15">
            <w:pPr>
              <w:pStyle w:val="17"/>
              <w:spacing w:before="17" w:line="306" w:lineRule="auto"/>
              <w:ind w:left="119" w:right="720" w:hanging="4"/>
              <w:jc w:val="both"/>
              <w:rPr>
                <w:color w:val="auto"/>
              </w:rPr>
            </w:pPr>
            <w:r>
              <w:rPr>
                <w:color w:val="auto"/>
              </w:rPr>
              <w:t>优秀的，得</w:t>
            </w:r>
            <w:r>
              <w:rPr>
                <w:color w:val="auto"/>
                <w:spacing w:val="-50"/>
              </w:rPr>
              <w:t xml:space="preserve"> </w:t>
            </w:r>
            <w:r>
              <w:rPr>
                <w:rFonts w:ascii="Times New Roman" w:hAnsi="Times New Roman" w:eastAsia="Times New Roman" w:cs="Times New Roman"/>
                <w:color w:val="auto"/>
              </w:rPr>
              <w:t>3</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5 </w:t>
            </w:r>
            <w:r>
              <w:rPr>
                <w:color w:val="auto"/>
              </w:rPr>
              <w:t>分；良好的，得</w:t>
            </w:r>
            <w:r>
              <w:rPr>
                <w:color w:val="auto"/>
                <w:spacing w:val="-55"/>
              </w:rPr>
              <w:t xml:space="preserve"> </w:t>
            </w:r>
            <w:r>
              <w:rPr>
                <w:rFonts w:ascii="Times New Roman" w:hAnsi="Times New Roman" w:eastAsia="Times New Roman" w:cs="Times New Roman"/>
                <w:color w:val="auto"/>
              </w:rPr>
              <w:t>2</w:t>
            </w:r>
            <w:r>
              <w:rPr>
                <w:color w:val="auto"/>
              </w:rPr>
              <w:t>&lt;</w:t>
            </w:r>
            <w:r>
              <w:rPr>
                <w:color w:val="auto"/>
                <w:spacing w:val="-40"/>
              </w:rPr>
              <w:t xml:space="preserve"> </w:t>
            </w:r>
            <w:r>
              <w:rPr>
                <w:color w:val="auto"/>
              </w:rPr>
              <w:t>F</w:t>
            </w:r>
            <w:r>
              <w:rPr>
                <w:color w:val="auto"/>
                <w:spacing w:val="-41"/>
              </w:rPr>
              <w:t xml:space="preserve"> </w:t>
            </w:r>
            <w:r>
              <w:rPr>
                <w:color w:val="auto"/>
              </w:rPr>
              <w:t>≤</w:t>
            </w:r>
            <w:r>
              <w:rPr>
                <w:rFonts w:ascii="Times New Roman" w:hAnsi="Times New Roman" w:eastAsia="Times New Roman" w:cs="Times New Roman"/>
                <w:color w:val="auto"/>
              </w:rPr>
              <w:t xml:space="preserve">3 </w:t>
            </w:r>
            <w:r>
              <w:rPr>
                <w:color w:val="auto"/>
              </w:rPr>
              <w:t>分；</w:t>
            </w:r>
            <w:r>
              <w:rPr>
                <w:color w:val="auto"/>
                <w:spacing w:val="1"/>
              </w:rPr>
              <w:t>一般的，得</w:t>
            </w:r>
            <w:r>
              <w:rPr>
                <w:color w:val="auto"/>
                <w:spacing w:val="-29"/>
              </w:rPr>
              <w:t xml:space="preserve"> </w:t>
            </w:r>
            <w:r>
              <w:rPr>
                <w:rFonts w:ascii="Times New Roman" w:hAnsi="Times New Roman" w:eastAsia="Times New Roman" w:cs="Times New Roman"/>
                <w:color w:val="auto"/>
                <w:spacing w:val="1"/>
              </w:rPr>
              <w:t>1</w:t>
            </w:r>
            <w:r>
              <w:rPr>
                <w:color w:val="auto"/>
                <w:spacing w:val="1"/>
              </w:rPr>
              <w:t>≤F≤</w:t>
            </w:r>
            <w:r>
              <w:rPr>
                <w:rFonts w:ascii="Times New Roman" w:hAnsi="Times New Roman" w:eastAsia="Times New Roman" w:cs="Times New Roman"/>
                <w:color w:val="auto"/>
                <w:spacing w:val="1"/>
              </w:rPr>
              <w:t xml:space="preserve">2 </w:t>
            </w:r>
            <w:r>
              <w:rPr>
                <w:color w:val="auto"/>
                <w:spacing w:val="1"/>
              </w:rPr>
              <w:t>分；</w:t>
            </w:r>
          </w:p>
          <w:p w14:paraId="51A9AE0F">
            <w:pPr>
              <w:keepNext w:val="0"/>
              <w:keepLines w:val="0"/>
              <w:pageBreakBefore w:val="0"/>
              <w:widowControl w:val="0"/>
              <w:kinsoku/>
              <w:wordWrap w:val="0"/>
              <w:overflowPunct/>
              <w:topLinePunct w:val="0"/>
              <w:autoSpaceDE/>
              <w:autoSpaceDN/>
              <w:bidi w:val="0"/>
              <w:adjustRightInd/>
              <w:snapToGrid/>
              <w:spacing w:line="400" w:lineRule="exact"/>
              <w:ind w:firstLine="472" w:firstLineChars="200"/>
              <w:textAlignment w:val="auto"/>
              <w:rPr>
                <w:color w:val="auto"/>
                <w:spacing w:val="13"/>
              </w:rPr>
            </w:pPr>
            <w:r>
              <w:rPr>
                <w:color w:val="auto"/>
                <w:spacing w:val="13"/>
              </w:rPr>
              <w:t>无此方案或此方案不具备可操</w:t>
            </w:r>
            <w:r>
              <w:rPr>
                <w:color w:val="auto"/>
                <w:spacing w:val="-3"/>
              </w:rPr>
              <w:t>作性的得</w:t>
            </w:r>
            <w:r>
              <w:rPr>
                <w:color w:val="auto"/>
                <w:spacing w:val="-48"/>
              </w:rPr>
              <w:t xml:space="preserve"> </w:t>
            </w:r>
            <w:r>
              <w:rPr>
                <w:rFonts w:ascii="Times New Roman" w:hAnsi="Times New Roman" w:eastAsia="Times New Roman" w:cs="Times New Roman"/>
                <w:color w:val="auto"/>
                <w:spacing w:val="-3"/>
              </w:rPr>
              <w:t xml:space="preserve">0 </w:t>
            </w:r>
            <w:r>
              <w:rPr>
                <w:color w:val="auto"/>
                <w:spacing w:val="-3"/>
              </w:rPr>
              <w:t>分。</w:t>
            </w:r>
          </w:p>
        </w:tc>
      </w:tr>
      <w:tr w14:paraId="0CADF1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restart"/>
            <w:tcBorders>
              <w:top w:val="single" w:color="auto" w:sz="4" w:space="0"/>
              <w:right w:val="single" w:color="auto" w:sz="4" w:space="0"/>
            </w:tcBorders>
            <w:noWrap w:val="0"/>
            <w:vAlign w:val="center"/>
          </w:tcPr>
          <w:p w14:paraId="5E2B4C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63" w:edGrp="everyone" w:colFirst="1" w:colLast="1"/>
            <w:permStart w:id="64" w:edGrp="everyone" w:colFirst="2" w:colLast="2"/>
            <w:r>
              <w:rPr>
                <w:rFonts w:hint="eastAsia" w:ascii="Times New Roman" w:hAnsi="Times New Roman" w:cs="Times New Roman"/>
                <w:color w:val="auto"/>
                <w:kern w:val="0"/>
                <w:sz w:val="24"/>
                <w:szCs w:val="24"/>
                <w:highlight w:val="none"/>
                <w:lang w:val="en-US" w:eastAsia="zh-CN"/>
              </w:rPr>
              <w:t>商务文件评分标准</w:t>
            </w:r>
          </w:p>
          <w:p w14:paraId="644C3C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25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3C79C7">
            <w:pPr>
              <w:pStyle w:val="17"/>
              <w:spacing w:before="131" w:line="219" w:lineRule="auto"/>
              <w:ind w:left="114"/>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i/>
                <w:iCs/>
                <w:color w:val="auto"/>
                <w:kern w:val="0"/>
                <w:sz w:val="24"/>
                <w:szCs w:val="24"/>
                <w:highlight w:val="none"/>
                <w:u w:val="single"/>
                <w:lang w:val="en-US" w:eastAsia="zh-CN"/>
              </w:rPr>
              <w:t xml:space="preserve"> </w:t>
            </w:r>
            <w:r>
              <w:rPr>
                <w:color w:val="auto"/>
                <w:spacing w:val="7"/>
              </w:rPr>
              <w:t>拟任项目</w:t>
            </w:r>
            <w:r>
              <w:rPr>
                <w:color w:val="auto"/>
                <w:spacing w:val="5"/>
              </w:rPr>
              <w:t>负责人任</w:t>
            </w:r>
            <w:r>
              <w:rPr>
                <w:color w:val="auto"/>
                <w:spacing w:val="4"/>
              </w:rPr>
              <w:t>职资格、</w:t>
            </w:r>
            <w:r>
              <w:rPr>
                <w:color w:val="auto"/>
                <w:spacing w:val="-5"/>
              </w:rPr>
              <w:t>业绩</w:t>
            </w:r>
            <w:r>
              <w:rPr>
                <w:rFonts w:hint="eastAsia" w:ascii="Times New Roman" w:hAnsi="Times New Roman" w:cs="Times New Roman"/>
                <w:i/>
                <w:iCs/>
                <w:color w:val="auto"/>
                <w:kern w:val="0"/>
                <w:sz w:val="24"/>
                <w:szCs w:val="24"/>
                <w:highlight w:val="none"/>
                <w:u w:val="single"/>
                <w:lang w:val="en-US" w:eastAsia="zh-CN"/>
              </w:rPr>
              <w:t xml:space="preserve"> （10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2F6F3D">
            <w:pPr>
              <w:wordWrap w:val="0"/>
              <w:spacing w:line="440" w:lineRule="exact"/>
              <w:ind w:firstLine="416" w:firstLineChars="200"/>
              <w:rPr>
                <w:color w:val="auto"/>
                <w:spacing w:val="-1"/>
              </w:rPr>
            </w:pPr>
            <w:r>
              <w:rPr>
                <w:rFonts w:ascii="宋体" w:hAnsi="宋体" w:eastAsia="宋体" w:cs="宋体"/>
                <w:color w:val="auto"/>
                <w:spacing w:val="-1"/>
              </w:rPr>
              <w:t xml:space="preserve">1. </w:t>
            </w:r>
            <w:r>
              <w:rPr>
                <w:color w:val="auto"/>
                <w:spacing w:val="-1"/>
              </w:rPr>
              <w:t xml:space="preserve">自 </w:t>
            </w:r>
            <w:r>
              <w:rPr>
                <w:rFonts w:ascii="宋体" w:hAnsi="宋体" w:eastAsia="宋体" w:cs="宋体"/>
                <w:color w:val="auto"/>
                <w:spacing w:val="-1"/>
              </w:rPr>
              <w:t>20</w:t>
            </w:r>
            <w:r>
              <w:rPr>
                <w:rFonts w:hint="default" w:ascii="宋体" w:hAnsi="宋体" w:cs="宋体"/>
                <w:color w:val="auto"/>
                <w:spacing w:val="-1"/>
                <w:lang w:val="en-US" w:eastAsia="zh-CN"/>
              </w:rPr>
              <w:t>21</w:t>
            </w:r>
            <w:r>
              <w:rPr>
                <w:rFonts w:ascii="宋体" w:hAnsi="宋体" w:eastAsia="宋体" w:cs="宋体"/>
                <w:color w:val="auto"/>
                <w:spacing w:val="-1"/>
              </w:rPr>
              <w:t xml:space="preserve"> </w:t>
            </w:r>
            <w:r>
              <w:rPr>
                <w:color w:val="auto"/>
                <w:spacing w:val="-1"/>
              </w:rPr>
              <w:t xml:space="preserve">年 </w:t>
            </w:r>
            <w:r>
              <w:rPr>
                <w:rFonts w:ascii="宋体" w:hAnsi="宋体" w:eastAsia="宋体" w:cs="宋体"/>
                <w:color w:val="auto"/>
                <w:spacing w:val="-1"/>
              </w:rPr>
              <w:t>1</w:t>
            </w:r>
            <w:r>
              <w:rPr>
                <w:rFonts w:ascii="宋体" w:hAnsi="宋体" w:eastAsia="宋体" w:cs="宋体"/>
                <w:color w:val="auto"/>
                <w:spacing w:val="-1"/>
                <w:w w:val="100"/>
              </w:rPr>
              <w:t xml:space="preserve"> </w:t>
            </w:r>
            <w:r>
              <w:rPr>
                <w:color w:val="auto"/>
                <w:spacing w:val="-1"/>
              </w:rPr>
              <w:t xml:space="preserve">月 </w:t>
            </w:r>
            <w:r>
              <w:rPr>
                <w:rFonts w:ascii="宋体" w:hAnsi="宋体" w:eastAsia="宋体" w:cs="宋体"/>
                <w:color w:val="auto"/>
                <w:spacing w:val="-1"/>
              </w:rPr>
              <w:t xml:space="preserve">1  </w:t>
            </w:r>
            <w:r>
              <w:rPr>
                <w:color w:val="auto"/>
                <w:spacing w:val="-1"/>
              </w:rPr>
              <w:t>日以来（以合同签订时间为准），</w:t>
            </w:r>
            <w:r>
              <w:rPr>
                <w:rFonts w:hint="default"/>
                <w:color w:val="auto"/>
                <w:spacing w:val="-1"/>
                <w:lang w:val="en-US" w:eastAsia="zh-CN"/>
              </w:rPr>
              <w:t>供应商</w:t>
            </w:r>
            <w:r>
              <w:rPr>
                <w:color w:val="auto"/>
                <w:spacing w:val="-1"/>
              </w:rPr>
              <w:t>拟任项目负责人具备高速公路检测业绩，且须同时符合下列要求：</w:t>
            </w:r>
          </w:p>
          <w:p w14:paraId="123FC326">
            <w:pPr>
              <w:wordWrap w:val="0"/>
              <w:spacing w:line="440" w:lineRule="exact"/>
              <w:ind w:firstLine="432" w:firstLineChars="200"/>
              <w:rPr>
                <w:color w:val="auto"/>
              </w:rPr>
            </w:pPr>
            <w:r>
              <w:rPr>
                <w:color w:val="auto"/>
                <w:spacing w:val="3"/>
              </w:rPr>
              <w:t>（</w:t>
            </w:r>
            <w:r>
              <w:rPr>
                <w:rFonts w:ascii="Times New Roman" w:hAnsi="Times New Roman" w:eastAsia="Times New Roman" w:cs="Times New Roman"/>
                <w:color w:val="auto"/>
                <w:spacing w:val="3"/>
              </w:rPr>
              <w:t>1</w:t>
            </w:r>
            <w:r>
              <w:rPr>
                <w:color w:val="auto"/>
                <w:spacing w:val="3"/>
              </w:rPr>
              <w:t>）业绩内容须至少包含高速</w:t>
            </w:r>
            <w:r>
              <w:rPr>
                <w:color w:val="auto"/>
                <w:spacing w:val="-6"/>
              </w:rPr>
              <w:t>公路桥梁和高速公路道路检测；</w:t>
            </w:r>
          </w:p>
          <w:p w14:paraId="64DC5223">
            <w:pPr>
              <w:wordWrap w:val="0"/>
              <w:spacing w:line="440" w:lineRule="exact"/>
              <w:ind w:firstLine="432" w:firstLineChars="200"/>
              <w:rPr>
                <w:color w:val="auto"/>
              </w:rPr>
            </w:pPr>
            <w:r>
              <w:rPr>
                <w:color w:val="auto"/>
                <w:spacing w:val="3"/>
              </w:rPr>
              <w:t>（</w:t>
            </w:r>
            <w:r>
              <w:rPr>
                <w:rFonts w:ascii="Times New Roman" w:hAnsi="Times New Roman" w:eastAsia="Times New Roman" w:cs="Times New Roman"/>
                <w:color w:val="auto"/>
                <w:spacing w:val="3"/>
              </w:rPr>
              <w:t>2</w:t>
            </w:r>
            <w:r>
              <w:rPr>
                <w:color w:val="auto"/>
                <w:spacing w:val="3"/>
              </w:rPr>
              <w:t>）单个合同检测费金额不少</w:t>
            </w:r>
            <w:r>
              <w:rPr>
                <w:color w:val="auto"/>
                <w:spacing w:val="-9"/>
              </w:rPr>
              <w:t>于</w:t>
            </w:r>
            <w:r>
              <w:rPr>
                <w:color w:val="auto"/>
                <w:spacing w:val="-27"/>
              </w:rPr>
              <w:t xml:space="preserve"> </w:t>
            </w:r>
            <w:r>
              <w:rPr>
                <w:rFonts w:ascii="Times New Roman" w:hAnsi="Times New Roman" w:eastAsia="Times New Roman" w:cs="Times New Roman"/>
                <w:color w:val="auto"/>
                <w:spacing w:val="-9"/>
              </w:rPr>
              <w:t>50</w:t>
            </w:r>
            <w:r>
              <w:rPr>
                <w:color w:val="auto"/>
                <w:spacing w:val="-9"/>
              </w:rPr>
              <w:t>万元；</w:t>
            </w:r>
          </w:p>
          <w:p w14:paraId="45722AE6">
            <w:pPr>
              <w:wordWrap w:val="0"/>
              <w:spacing w:line="440" w:lineRule="exact"/>
              <w:ind w:firstLine="432" w:firstLineChars="200"/>
              <w:rPr>
                <w:color w:val="auto"/>
              </w:rPr>
            </w:pPr>
            <w:r>
              <w:rPr>
                <w:color w:val="auto"/>
                <w:spacing w:val="3"/>
              </w:rPr>
              <w:t>（</w:t>
            </w:r>
            <w:r>
              <w:rPr>
                <w:rFonts w:ascii="Times New Roman" w:hAnsi="Times New Roman" w:eastAsia="Times New Roman" w:cs="Times New Roman"/>
                <w:color w:val="auto"/>
                <w:spacing w:val="3"/>
              </w:rPr>
              <w:t>3</w:t>
            </w:r>
            <w:r>
              <w:rPr>
                <w:color w:val="auto"/>
                <w:spacing w:val="3"/>
              </w:rPr>
              <w:t>）施工单位自检业绩不予认</w:t>
            </w:r>
            <w:r>
              <w:rPr>
                <w:color w:val="auto"/>
                <w:spacing w:val="-6"/>
              </w:rPr>
              <w:t>可；</w:t>
            </w:r>
          </w:p>
          <w:p w14:paraId="2F7DF7E5">
            <w:pPr>
              <w:wordWrap w:val="0"/>
              <w:spacing w:line="440" w:lineRule="exact"/>
              <w:ind w:firstLine="412" w:firstLineChars="200"/>
              <w:rPr>
                <w:color w:val="auto"/>
              </w:rPr>
            </w:pPr>
            <w:r>
              <w:rPr>
                <w:rFonts w:hint="eastAsia"/>
                <w:color w:val="auto"/>
                <w:spacing w:val="-2"/>
                <w:lang w:val="en-US" w:eastAsia="zh-CN"/>
              </w:rPr>
              <w:t>每个得7分，</w:t>
            </w:r>
            <w:r>
              <w:rPr>
                <w:color w:val="auto"/>
                <w:spacing w:val="-2"/>
              </w:rPr>
              <w:t>本小项满分</w:t>
            </w:r>
            <w:r>
              <w:rPr>
                <w:color w:val="auto"/>
                <w:spacing w:val="-51"/>
              </w:rPr>
              <w:t xml:space="preserve"> </w:t>
            </w:r>
            <w:r>
              <w:rPr>
                <w:rFonts w:ascii="Times New Roman" w:hAnsi="Times New Roman" w:eastAsia="Times New Roman" w:cs="Times New Roman"/>
                <w:color w:val="auto"/>
                <w:spacing w:val="-2"/>
              </w:rPr>
              <w:t xml:space="preserve">7 </w:t>
            </w:r>
            <w:r>
              <w:rPr>
                <w:color w:val="auto"/>
                <w:spacing w:val="-2"/>
              </w:rPr>
              <w:t>分。</w:t>
            </w:r>
          </w:p>
          <w:p w14:paraId="328D9687">
            <w:pPr>
              <w:wordWrap w:val="0"/>
              <w:spacing w:line="440" w:lineRule="exact"/>
              <w:ind w:firstLine="398" w:firstLineChars="200"/>
              <w:rPr>
                <w:color w:val="auto"/>
              </w:rPr>
            </w:pPr>
            <w:r>
              <w:rPr>
                <w:b/>
                <w:bCs/>
                <w:color w:val="auto"/>
                <w:spacing w:val="-6"/>
              </w:rPr>
              <w:t>注：1.</w:t>
            </w:r>
            <w:r>
              <w:rPr>
                <w:rFonts w:hint="eastAsia"/>
                <w:b/>
                <w:bCs/>
                <w:color w:val="auto"/>
                <w:spacing w:val="-6"/>
                <w:lang w:val="en-US" w:eastAsia="zh-CN"/>
              </w:rPr>
              <w:t>响应</w:t>
            </w:r>
            <w:r>
              <w:rPr>
                <w:b/>
                <w:bCs/>
                <w:color w:val="auto"/>
                <w:spacing w:val="-6"/>
              </w:rPr>
              <w:t>文件中须同时提供以</w:t>
            </w:r>
            <w:r>
              <w:rPr>
                <w:b/>
                <w:bCs/>
                <w:color w:val="auto"/>
                <w:spacing w:val="-5"/>
              </w:rPr>
              <w:t>下业绩证明材料：</w:t>
            </w:r>
          </w:p>
          <w:p w14:paraId="54AE9744">
            <w:pPr>
              <w:wordWrap w:val="0"/>
              <w:spacing w:line="440" w:lineRule="exact"/>
              <w:ind w:firstLine="406" w:firstLineChars="200"/>
              <w:rPr>
                <w:color w:val="auto"/>
              </w:rPr>
            </w:pPr>
            <w:r>
              <w:rPr>
                <w:b/>
                <w:bCs/>
                <w:color w:val="auto"/>
                <w:spacing w:val="-4"/>
              </w:rPr>
              <w:t>（1）业绩合同扫描件；</w:t>
            </w:r>
          </w:p>
          <w:p w14:paraId="7609204A">
            <w:pPr>
              <w:wordWrap w:val="0"/>
              <w:spacing w:line="440" w:lineRule="exact"/>
              <w:ind w:firstLine="426" w:firstLineChars="200"/>
              <w:rPr>
                <w:color w:val="auto"/>
              </w:rPr>
            </w:pPr>
            <w:r>
              <w:rPr>
                <w:b/>
                <w:bCs/>
                <w:color w:val="auto"/>
                <w:spacing w:val="1"/>
              </w:rPr>
              <w:t>（2）与该业绩对应的项目正在</w:t>
            </w:r>
            <w:r>
              <w:rPr>
                <w:b/>
                <w:bCs/>
                <w:color w:val="auto"/>
                <w:spacing w:val="-7"/>
              </w:rPr>
              <w:t>履约或已完成的证明材料（如验收报告或业主（或合同甲方）证明）。</w:t>
            </w:r>
          </w:p>
          <w:p w14:paraId="6080C2B3">
            <w:pPr>
              <w:wordWrap w:val="0"/>
              <w:spacing w:line="440" w:lineRule="exact"/>
              <w:ind w:firstLine="462" w:firstLineChars="200"/>
              <w:rPr>
                <w:rFonts w:hint="eastAsia"/>
                <w:color w:val="auto"/>
                <w:spacing w:val="-66"/>
                <w:lang w:eastAsia="zh-CN"/>
              </w:rPr>
            </w:pPr>
            <w:r>
              <w:rPr>
                <w:rFonts w:hint="eastAsia"/>
                <w:b/>
                <w:bCs/>
                <w:color w:val="auto"/>
                <w:spacing w:val="10"/>
                <w:lang w:eastAsia="zh-CN"/>
              </w:rPr>
              <w:t>（</w:t>
            </w:r>
            <w:r>
              <w:rPr>
                <w:rFonts w:hint="eastAsia"/>
                <w:b/>
                <w:bCs/>
                <w:color w:val="auto"/>
                <w:spacing w:val="10"/>
                <w:lang w:val="en-US" w:eastAsia="zh-CN"/>
              </w:rPr>
              <w:t>3</w:t>
            </w:r>
            <w:r>
              <w:rPr>
                <w:rFonts w:hint="eastAsia"/>
                <w:b/>
                <w:bCs/>
                <w:color w:val="auto"/>
                <w:spacing w:val="10"/>
                <w:lang w:eastAsia="zh-CN"/>
              </w:rPr>
              <w:t>）</w:t>
            </w:r>
            <w:r>
              <w:rPr>
                <w:b/>
                <w:bCs/>
                <w:color w:val="auto"/>
                <w:spacing w:val="10"/>
              </w:rPr>
              <w:t>已签订合同但尚未实施的</w:t>
            </w:r>
            <w:r>
              <w:rPr>
                <w:rFonts w:hint="eastAsia"/>
                <w:b/>
                <w:bCs/>
                <w:color w:val="auto"/>
                <w:spacing w:val="10"/>
                <w:u w:val="none"/>
                <w:lang w:eastAsia="zh-CN"/>
              </w:rPr>
              <w:t>，</w:t>
            </w:r>
            <w:r>
              <w:rPr>
                <w:b/>
                <w:bCs/>
                <w:color w:val="auto"/>
                <w:spacing w:val="10"/>
              </w:rPr>
              <w:t>业绩</w:t>
            </w:r>
            <w:r>
              <w:rPr>
                <w:b/>
                <w:bCs/>
                <w:color w:val="auto"/>
                <w:spacing w:val="8"/>
              </w:rPr>
              <w:t>不予认可</w:t>
            </w:r>
            <w:r>
              <w:rPr>
                <w:color w:val="auto"/>
                <w:spacing w:val="-66"/>
              </w:rPr>
              <w:t xml:space="preserve"> </w:t>
            </w:r>
            <w:r>
              <w:rPr>
                <w:rFonts w:hint="eastAsia"/>
                <w:color w:val="auto"/>
                <w:spacing w:val="-66"/>
                <w:lang w:eastAsia="zh-CN"/>
              </w:rPr>
              <w:t>；</w:t>
            </w:r>
          </w:p>
          <w:p w14:paraId="69BA4B9A">
            <w:pPr>
              <w:wordWrap w:val="0"/>
              <w:spacing w:line="440" w:lineRule="exact"/>
              <w:ind w:firstLine="420" w:firstLineChars="200"/>
              <w:rPr>
                <w:rFonts w:hint="default" w:eastAsia="宋体"/>
                <w:color w:val="auto"/>
                <w:lang w:val="en-US" w:eastAsia="zh-CN"/>
              </w:rPr>
            </w:pP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lang w:val="en-US" w:eastAsia="zh-CN"/>
              </w:rPr>
              <w:t>业绩合同须能体现拟派项目负责人身份信息，如无法体现身份信息的，需出具业主证明，否则不予认可。</w:t>
            </w:r>
          </w:p>
          <w:p w14:paraId="083F9748">
            <w:pPr>
              <w:wordWrap w:val="0"/>
              <w:spacing w:line="440" w:lineRule="exact"/>
              <w:ind w:firstLine="468" w:firstLineChars="200"/>
              <w:rPr>
                <w:color w:val="auto"/>
              </w:rPr>
            </w:pPr>
            <w:r>
              <w:rPr>
                <w:color w:val="auto"/>
                <w:spacing w:val="12"/>
              </w:rPr>
              <w:t>2.拟投入本项目的项目负责人</w:t>
            </w:r>
            <w:r>
              <w:rPr>
                <w:rFonts w:hint="eastAsia" w:ascii="宋体" w:hAnsi="宋体" w:eastAsia="宋体" w:cs="宋体"/>
                <w:color w:val="auto"/>
                <w:spacing w:val="12"/>
                <w:lang w:eastAsia="zh-CN"/>
              </w:rPr>
              <w:t>获得省级及以上交通运输主管部门颁发的十佳检测工程师或优秀检测工程师等类似检测方面荣誉的，得 3 分</w:t>
            </w:r>
            <w:r>
              <w:rPr>
                <w:rFonts w:ascii="宋体" w:hAnsi="宋体" w:eastAsia="宋体" w:cs="宋体"/>
                <w:color w:val="auto"/>
                <w:spacing w:val="12"/>
              </w:rPr>
              <w:t>。</w:t>
            </w:r>
          </w:p>
          <w:p w14:paraId="6FFFC1CB">
            <w:pPr>
              <w:keepNext w:val="0"/>
              <w:keepLines w:val="0"/>
              <w:pageBreakBefore w:val="0"/>
              <w:widowControl w:val="0"/>
              <w:kinsoku/>
              <w:wordWrap w:val="0"/>
              <w:overflowPunct/>
              <w:topLinePunct w:val="0"/>
              <w:autoSpaceDE/>
              <w:autoSpaceDN/>
              <w:bidi w:val="0"/>
              <w:adjustRightInd/>
              <w:snapToGrid/>
              <w:spacing w:line="440" w:lineRule="exact"/>
              <w:ind w:firstLine="470" w:firstLineChars="200"/>
              <w:textAlignment w:val="auto"/>
              <w:rPr>
                <w:rFonts w:hint="default"/>
                <w:b/>
                <w:bCs/>
                <w:color w:val="auto"/>
                <w:spacing w:val="-7"/>
                <w:lang w:val="en-US" w:eastAsia="zh-CN"/>
              </w:rPr>
            </w:pPr>
            <w:r>
              <w:rPr>
                <w:b/>
                <w:bCs/>
                <w:color w:val="auto"/>
                <w:spacing w:val="12"/>
              </w:rPr>
              <w:t>注：</w:t>
            </w:r>
            <w:r>
              <w:rPr>
                <w:rFonts w:hint="eastAsia"/>
                <w:b/>
                <w:bCs/>
                <w:color w:val="auto"/>
                <w:spacing w:val="12"/>
                <w:lang w:val="en-US" w:eastAsia="zh-CN"/>
              </w:rPr>
              <w:t>响应</w:t>
            </w:r>
            <w:r>
              <w:rPr>
                <w:b/>
                <w:bCs/>
                <w:color w:val="auto"/>
                <w:spacing w:val="12"/>
              </w:rPr>
              <w:t>文件中提供证书扫描</w:t>
            </w:r>
            <w:r>
              <w:rPr>
                <w:b/>
                <w:bCs/>
                <w:color w:val="auto"/>
                <w:spacing w:val="-7"/>
              </w:rPr>
              <w:t>件。</w:t>
            </w:r>
          </w:p>
        </w:tc>
      </w:tr>
      <w:permEnd w:id="63"/>
      <w:permEnd w:id="64"/>
      <w:tr w14:paraId="2A287A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29D8B1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FA9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eastAsiaTheme="minorEastAsia"/>
                <w:color w:val="auto"/>
                <w:spacing w:val="4"/>
                <w:lang w:val="en-US" w:eastAsia="zh-CN"/>
              </w:rPr>
            </w:pPr>
            <w:r>
              <w:rPr>
                <w:color w:val="auto"/>
                <w:spacing w:val="6"/>
              </w:rPr>
              <w:t>项目技术</w:t>
            </w:r>
            <w:r>
              <w:rPr>
                <w:color w:val="auto"/>
                <w:spacing w:val="7"/>
              </w:rPr>
              <w:t>负责人任</w:t>
            </w:r>
            <w:r>
              <w:rPr>
                <w:color w:val="auto"/>
                <w:spacing w:val="-4"/>
              </w:rPr>
              <w:t>职资格</w:t>
            </w:r>
            <w:r>
              <w:rPr>
                <w:rFonts w:hint="eastAsia"/>
                <w:color w:val="auto"/>
                <w:spacing w:val="-4"/>
                <w:lang w:eastAsia="zh-CN"/>
              </w:rPr>
              <w:t>（</w:t>
            </w:r>
            <w:r>
              <w:rPr>
                <w:rFonts w:hint="eastAsia"/>
                <w:color w:val="auto"/>
                <w:spacing w:val="-4"/>
                <w:lang w:val="en-US" w:eastAsia="zh-CN"/>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8E12B7">
            <w:pPr>
              <w:pStyle w:val="17"/>
              <w:spacing w:before="117" w:line="308" w:lineRule="auto"/>
              <w:ind w:left="116" w:right="107"/>
              <w:jc w:val="both"/>
              <w:rPr>
                <w:color w:val="auto"/>
              </w:rPr>
            </w:pPr>
            <w:r>
              <w:rPr>
                <w:color w:val="auto"/>
                <w:spacing w:val="14"/>
              </w:rPr>
              <w:t>拟投入本项目技术负责人同时</w:t>
            </w:r>
            <w:r>
              <w:rPr>
                <w:color w:val="auto"/>
                <w:spacing w:val="-5"/>
              </w:rPr>
              <w:t>满足下列条件的</w:t>
            </w:r>
            <w:r>
              <w:rPr>
                <w:color w:val="auto"/>
                <w:spacing w:val="-6"/>
              </w:rPr>
              <w:t>：</w:t>
            </w:r>
          </w:p>
          <w:p w14:paraId="3D69E0A4">
            <w:pPr>
              <w:pStyle w:val="17"/>
              <w:spacing w:line="307" w:lineRule="auto"/>
              <w:ind w:left="122" w:right="107" w:hanging="7"/>
              <w:rPr>
                <w:color w:val="auto"/>
              </w:rPr>
            </w:pPr>
            <w:r>
              <w:rPr>
                <w:color w:val="auto"/>
                <w:spacing w:val="-5"/>
              </w:rPr>
              <w:t>①具有公路（或桥梁）相关专业</w:t>
            </w:r>
            <w:r>
              <w:rPr>
                <w:color w:val="auto"/>
                <w:spacing w:val="-2"/>
              </w:rPr>
              <w:t>高级及以上技术职称</w:t>
            </w:r>
            <w:r>
              <w:rPr>
                <w:rFonts w:hint="eastAsia"/>
                <w:color w:val="auto"/>
                <w:spacing w:val="-2"/>
                <w:lang w:eastAsia="zh-CN"/>
              </w:rPr>
              <w:t>，</w:t>
            </w:r>
            <w:r>
              <w:rPr>
                <w:rFonts w:hint="eastAsia"/>
                <w:color w:val="auto"/>
                <w:spacing w:val="-2"/>
                <w:lang w:val="en-US" w:eastAsia="zh-CN"/>
              </w:rPr>
              <w:t>得3分</w:t>
            </w:r>
            <w:r>
              <w:rPr>
                <w:color w:val="auto"/>
                <w:spacing w:val="-2"/>
              </w:rPr>
              <w:t>；</w:t>
            </w:r>
          </w:p>
          <w:p w14:paraId="044C5915">
            <w:pPr>
              <w:pStyle w:val="17"/>
              <w:spacing w:before="4" w:line="307" w:lineRule="auto"/>
              <w:ind w:left="114" w:right="107"/>
              <w:rPr>
                <w:color w:val="auto"/>
              </w:rPr>
            </w:pPr>
            <w:r>
              <w:rPr>
                <w:color w:val="auto"/>
                <w:spacing w:val="14"/>
              </w:rPr>
              <w:t>②</w:t>
            </w:r>
            <w:r>
              <w:rPr>
                <w:rFonts w:hint="eastAsia" w:ascii="宋体" w:hAnsi="宋体" w:eastAsia="宋体" w:cs="宋体"/>
                <w:color w:val="auto"/>
                <w:spacing w:val="14"/>
                <w:lang w:eastAsia="zh-CN"/>
              </w:rPr>
              <w:t>获得省级及以上交通运输主管部门颁发的十佳检测工程师或优秀检测工程师等类似检测方面荣誉的，得 3 分</w:t>
            </w:r>
            <w:r>
              <w:rPr>
                <w:rFonts w:hint="eastAsia" w:cs="宋体"/>
                <w:color w:val="auto"/>
                <w:spacing w:val="14"/>
                <w:lang w:eastAsia="zh-CN"/>
              </w:rPr>
              <w:t>，</w:t>
            </w:r>
            <w:r>
              <w:rPr>
                <w:rFonts w:hint="eastAsia" w:cs="宋体"/>
                <w:color w:val="auto"/>
                <w:spacing w:val="14"/>
                <w:lang w:val="en-US" w:eastAsia="zh-CN"/>
              </w:rPr>
              <w:t>本小项满分3分</w:t>
            </w:r>
            <w:r>
              <w:rPr>
                <w:rFonts w:hint="eastAsia" w:ascii="宋体" w:hAnsi="宋体" w:eastAsia="宋体" w:cs="宋体"/>
                <w:color w:val="auto"/>
                <w:spacing w:val="14"/>
                <w:lang w:eastAsia="zh-CN"/>
              </w:rPr>
              <w:t>。</w:t>
            </w:r>
          </w:p>
          <w:p w14:paraId="3D623001">
            <w:pPr>
              <w:keepNext w:val="0"/>
              <w:keepLines w:val="0"/>
              <w:pageBreakBefore w:val="0"/>
              <w:widowControl w:val="0"/>
              <w:kinsoku/>
              <w:wordWrap w:val="0"/>
              <w:overflowPunct/>
              <w:topLinePunct w:val="0"/>
              <w:autoSpaceDE/>
              <w:autoSpaceDN/>
              <w:bidi w:val="0"/>
              <w:adjustRightInd/>
              <w:snapToGrid/>
              <w:spacing w:line="440" w:lineRule="exact"/>
              <w:ind w:firstLine="470" w:firstLineChars="200"/>
              <w:textAlignment w:val="auto"/>
              <w:rPr>
                <w:b/>
                <w:bCs/>
                <w:color w:val="auto"/>
                <w:spacing w:val="12"/>
              </w:rPr>
            </w:pPr>
            <w:r>
              <w:rPr>
                <w:b/>
                <w:bCs/>
                <w:color w:val="auto"/>
                <w:spacing w:val="12"/>
              </w:rPr>
              <w:t>注：</w:t>
            </w:r>
            <w:r>
              <w:rPr>
                <w:rFonts w:hint="eastAsia"/>
                <w:b/>
                <w:bCs/>
                <w:color w:val="auto"/>
                <w:spacing w:val="12"/>
                <w:lang w:val="en-US" w:eastAsia="zh-CN"/>
              </w:rPr>
              <w:t>响应</w:t>
            </w:r>
            <w:r>
              <w:rPr>
                <w:b/>
                <w:bCs/>
                <w:color w:val="auto"/>
                <w:spacing w:val="12"/>
              </w:rPr>
              <w:t>文件中提供证书扫描</w:t>
            </w:r>
            <w:r>
              <w:rPr>
                <w:b/>
                <w:bCs/>
                <w:color w:val="auto"/>
                <w:spacing w:val="-7"/>
              </w:rPr>
              <w:t>件。</w:t>
            </w:r>
          </w:p>
        </w:tc>
      </w:tr>
      <w:tr w14:paraId="40299B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0D3B3E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50747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eastAsiaTheme="minorEastAsia"/>
                <w:color w:val="auto"/>
                <w:spacing w:val="4"/>
                <w:lang w:val="en-US" w:eastAsia="zh-CN"/>
              </w:rPr>
            </w:pPr>
            <w:r>
              <w:rPr>
                <w:color w:val="auto"/>
                <w:spacing w:val="-3"/>
              </w:rPr>
              <w:t>其他人员</w:t>
            </w:r>
            <w:r>
              <w:rPr>
                <w:rFonts w:hint="eastAsia"/>
                <w:color w:val="auto"/>
                <w:spacing w:val="-3"/>
                <w:lang w:eastAsia="zh-CN"/>
              </w:rPr>
              <w:t>（</w:t>
            </w:r>
            <w:r>
              <w:rPr>
                <w:rFonts w:hint="eastAsia"/>
                <w:color w:val="auto"/>
                <w:spacing w:val="-3"/>
                <w:lang w:val="en-US" w:eastAsia="zh-CN"/>
              </w:rPr>
              <w:t>9分）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A9B780">
            <w:pPr>
              <w:pStyle w:val="17"/>
              <w:spacing w:before="117" w:line="308" w:lineRule="auto"/>
              <w:ind w:left="117" w:right="102" w:firstLine="3"/>
              <w:jc w:val="both"/>
              <w:rPr>
                <w:rFonts w:hint="eastAsia" w:ascii="宋体" w:hAnsi="宋体" w:eastAsia="宋体" w:cs="宋体"/>
                <w:color w:val="auto"/>
                <w:spacing w:val="14"/>
                <w:lang w:eastAsia="zh-CN"/>
              </w:rPr>
            </w:pPr>
            <w:r>
              <w:rPr>
                <w:color w:val="auto"/>
                <w:spacing w:val="14"/>
              </w:rPr>
              <w:t>拟投入本项目的其余团队人员（不含项目负责人、技术负责</w:t>
            </w:r>
            <w:r>
              <w:rPr>
                <w:color w:val="auto"/>
                <w:spacing w:val="-2"/>
              </w:rPr>
              <w:t>人</w:t>
            </w:r>
            <w:r>
              <w:rPr>
                <w:color w:val="auto"/>
                <w:spacing w:val="-17"/>
              </w:rPr>
              <w:t>），</w:t>
            </w:r>
            <w:r>
              <w:rPr>
                <w:color w:val="auto"/>
                <w:spacing w:val="-2"/>
              </w:rPr>
              <w:t>具有交通运输部试验检测</w:t>
            </w:r>
            <w:r>
              <w:rPr>
                <w:color w:val="auto"/>
                <w:spacing w:val="-5"/>
              </w:rPr>
              <w:t>工程师证书（桥梁专业）或交通</w:t>
            </w:r>
            <w:r>
              <w:rPr>
                <w:color w:val="auto"/>
                <w:spacing w:val="14"/>
              </w:rPr>
              <w:t>运输部职业资格试验检测师证</w:t>
            </w:r>
            <w:r>
              <w:rPr>
                <w:color w:val="auto"/>
                <w:spacing w:val="-5"/>
              </w:rPr>
              <w:t>书（桥梁隧道工程专业）的，每</w:t>
            </w:r>
            <w:r>
              <w:rPr>
                <w:color w:val="auto"/>
                <w:spacing w:val="-4"/>
              </w:rPr>
              <w:t>提供</w:t>
            </w:r>
            <w:r>
              <w:rPr>
                <w:color w:val="auto"/>
                <w:spacing w:val="-27"/>
              </w:rPr>
              <w:t xml:space="preserve"> </w:t>
            </w:r>
            <w:r>
              <w:rPr>
                <w:rFonts w:ascii="Times New Roman" w:hAnsi="Times New Roman" w:eastAsia="Times New Roman" w:cs="Times New Roman"/>
                <w:color w:val="auto"/>
                <w:spacing w:val="-4"/>
              </w:rPr>
              <w:t xml:space="preserve">1 </w:t>
            </w:r>
            <w:r>
              <w:rPr>
                <w:color w:val="auto"/>
                <w:spacing w:val="-4"/>
              </w:rPr>
              <w:t>人得</w:t>
            </w:r>
            <w:r>
              <w:rPr>
                <w:color w:val="auto"/>
                <w:spacing w:val="-50"/>
              </w:rPr>
              <w:t xml:space="preserve"> </w:t>
            </w:r>
            <w:r>
              <w:rPr>
                <w:rFonts w:hint="eastAsia"/>
                <w:color w:val="auto"/>
                <w:spacing w:val="-50"/>
                <w:lang w:val="en-US" w:eastAsia="zh-CN"/>
              </w:rPr>
              <w:t>2</w:t>
            </w:r>
            <w:r>
              <w:rPr>
                <w:rFonts w:ascii="Times New Roman" w:hAnsi="Times New Roman" w:eastAsia="Times New Roman" w:cs="Times New Roman"/>
                <w:color w:val="auto"/>
                <w:spacing w:val="-4"/>
              </w:rPr>
              <w:t xml:space="preserve"> </w:t>
            </w:r>
            <w:r>
              <w:rPr>
                <w:color w:val="auto"/>
                <w:spacing w:val="-4"/>
              </w:rPr>
              <w:t>分，本小项满分</w:t>
            </w:r>
            <w:r>
              <w:rPr>
                <w:color w:val="auto"/>
                <w:spacing w:val="-51"/>
              </w:rPr>
              <w:t xml:space="preserve"> </w:t>
            </w:r>
            <w:r>
              <w:rPr>
                <w:rFonts w:hint="eastAsia"/>
                <w:color w:val="auto"/>
                <w:spacing w:val="-51"/>
                <w:lang w:val="en-US" w:eastAsia="zh-CN"/>
              </w:rPr>
              <w:t>6</w:t>
            </w:r>
            <w:r>
              <w:rPr>
                <w:color w:val="auto"/>
                <w:spacing w:val="-6"/>
              </w:rPr>
              <w:t>分</w:t>
            </w:r>
            <w:r>
              <w:rPr>
                <w:rFonts w:hint="eastAsia" w:ascii="宋体" w:hAnsi="宋体" w:eastAsia="宋体" w:cs="宋体"/>
                <w:color w:val="auto"/>
                <w:spacing w:val="14"/>
                <w:lang w:eastAsia="zh-CN"/>
              </w:rPr>
              <w:t>；</w:t>
            </w:r>
          </w:p>
          <w:p w14:paraId="43DCA251">
            <w:pPr>
              <w:pStyle w:val="17"/>
              <w:spacing w:before="117" w:line="308" w:lineRule="auto"/>
              <w:ind w:left="117" w:right="102" w:firstLine="3"/>
              <w:jc w:val="both"/>
              <w:rPr>
                <w:rFonts w:hint="eastAsia" w:eastAsia="宋体"/>
                <w:color w:val="auto"/>
                <w:lang w:eastAsia="zh-CN"/>
              </w:rPr>
            </w:pPr>
            <w:r>
              <w:rPr>
                <w:rFonts w:hint="eastAsia" w:ascii="宋体" w:hAnsi="宋体" w:eastAsia="宋体" w:cs="宋体"/>
                <w:color w:val="auto"/>
                <w:spacing w:val="14"/>
                <w:lang w:eastAsia="zh-CN"/>
              </w:rPr>
              <w:t>获得省级及以上交通运输主管部门颁发的十佳检测工程师或优秀检测工程师等类似检测方面荣誉的，每提供1人得1分，本小项满分3分。</w:t>
            </w:r>
          </w:p>
          <w:p w14:paraId="1359D32C">
            <w:pPr>
              <w:keepNext w:val="0"/>
              <w:keepLines w:val="0"/>
              <w:pageBreakBefore w:val="0"/>
              <w:widowControl w:val="0"/>
              <w:kinsoku/>
              <w:wordWrap w:val="0"/>
              <w:overflowPunct/>
              <w:topLinePunct w:val="0"/>
              <w:autoSpaceDE/>
              <w:autoSpaceDN/>
              <w:bidi w:val="0"/>
              <w:adjustRightInd/>
              <w:snapToGrid/>
              <w:spacing w:line="440" w:lineRule="exact"/>
              <w:ind w:firstLine="470" w:firstLineChars="200"/>
              <w:textAlignment w:val="auto"/>
              <w:rPr>
                <w:b/>
                <w:bCs/>
                <w:color w:val="auto"/>
                <w:spacing w:val="12"/>
              </w:rPr>
            </w:pPr>
            <w:r>
              <w:rPr>
                <w:b/>
                <w:bCs/>
                <w:color w:val="auto"/>
                <w:spacing w:val="12"/>
              </w:rPr>
              <w:t>注：</w:t>
            </w:r>
            <w:r>
              <w:rPr>
                <w:rFonts w:hint="eastAsia"/>
                <w:b/>
                <w:bCs/>
                <w:color w:val="auto"/>
                <w:spacing w:val="12"/>
                <w:lang w:val="en-US" w:eastAsia="zh-CN"/>
              </w:rPr>
              <w:t>响应</w:t>
            </w:r>
            <w:r>
              <w:rPr>
                <w:b/>
                <w:bCs/>
                <w:color w:val="auto"/>
                <w:spacing w:val="12"/>
              </w:rPr>
              <w:t>文件中提供证书扫描</w:t>
            </w:r>
            <w:r>
              <w:rPr>
                <w:b/>
                <w:bCs/>
                <w:color w:val="auto"/>
                <w:spacing w:val="8"/>
              </w:rPr>
              <w:t>件</w:t>
            </w:r>
            <w:r>
              <w:rPr>
                <w:b/>
                <w:bCs/>
                <w:color w:val="auto"/>
                <w:spacing w:val="-6"/>
              </w:rPr>
              <w:t>。</w:t>
            </w:r>
          </w:p>
        </w:tc>
      </w:tr>
      <w:tr w14:paraId="053977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53815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color w:val="auto"/>
                <w:spacing w:val="-1"/>
              </w:rPr>
            </w:pPr>
            <w:permStart w:id="65" w:edGrp="everyone" w:colFirst="0" w:colLast="0"/>
            <w:permStart w:id="66" w:edGrp="everyone" w:colFirst="1" w:colLast="1"/>
            <w:permStart w:id="67" w:edGrp="everyone" w:colFirst="2" w:colLast="2"/>
            <w:r>
              <w:rPr>
                <w:color w:val="auto"/>
                <w:spacing w:val="-1"/>
              </w:rPr>
              <w:t>报</w:t>
            </w:r>
            <w:r>
              <w:rPr>
                <w:color w:val="auto"/>
                <w:spacing w:val="24"/>
              </w:rPr>
              <w:t xml:space="preserve"> </w:t>
            </w:r>
            <w:r>
              <w:rPr>
                <w:color w:val="auto"/>
                <w:spacing w:val="-1"/>
              </w:rPr>
              <w:t>价</w:t>
            </w:r>
            <w:r>
              <w:rPr>
                <w:color w:val="auto"/>
                <w:spacing w:val="22"/>
              </w:rPr>
              <w:t xml:space="preserve"> </w:t>
            </w:r>
            <w:r>
              <w:rPr>
                <w:color w:val="auto"/>
                <w:spacing w:val="-1"/>
              </w:rPr>
              <w:t>文</w:t>
            </w:r>
            <w:r>
              <w:rPr>
                <w:color w:val="auto"/>
                <w:spacing w:val="20"/>
              </w:rPr>
              <w:t xml:space="preserve"> </w:t>
            </w:r>
            <w:r>
              <w:rPr>
                <w:color w:val="auto"/>
                <w:spacing w:val="-1"/>
              </w:rPr>
              <w:t>件</w:t>
            </w:r>
            <w:r>
              <w:rPr>
                <w:color w:val="auto"/>
                <w:spacing w:val="19"/>
              </w:rPr>
              <w:t xml:space="preserve"> </w:t>
            </w:r>
            <w:r>
              <w:rPr>
                <w:color w:val="auto"/>
                <w:spacing w:val="-1"/>
              </w:rPr>
              <w:t>评</w:t>
            </w:r>
            <w:r>
              <w:rPr>
                <w:color w:val="auto"/>
                <w:spacing w:val="22"/>
              </w:rPr>
              <w:t xml:space="preserve"> </w:t>
            </w:r>
            <w:r>
              <w:rPr>
                <w:color w:val="auto"/>
                <w:spacing w:val="-1"/>
              </w:rPr>
              <w:t>分</w:t>
            </w:r>
            <w:r>
              <w:rPr>
                <w:color w:val="auto"/>
                <w:spacing w:val="19"/>
              </w:rPr>
              <w:t xml:space="preserve"> </w:t>
            </w:r>
            <w:r>
              <w:rPr>
                <w:color w:val="auto"/>
                <w:spacing w:val="-1"/>
              </w:rPr>
              <w:t>标</w:t>
            </w:r>
            <w:r>
              <w:rPr>
                <w:color w:val="auto"/>
                <w:spacing w:val="20"/>
              </w:rPr>
              <w:t xml:space="preserve"> </w:t>
            </w:r>
            <w:r>
              <w:rPr>
                <w:color w:val="auto"/>
                <w:spacing w:val="-1"/>
              </w:rPr>
              <w:t>准</w:t>
            </w:r>
          </w:p>
          <w:p w14:paraId="575C2D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eastAsiaTheme="minorEastAsia"/>
                <w:color w:val="auto"/>
                <w:spacing w:val="-1"/>
                <w:lang w:val="en-US" w:eastAsia="zh-CN"/>
              </w:rPr>
            </w:pPr>
            <w:r>
              <w:rPr>
                <w:rFonts w:hint="eastAsia"/>
                <w:color w:val="auto"/>
                <w:spacing w:val="-1"/>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4EF0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   </w:t>
            </w:r>
            <w:r>
              <w:rPr>
                <w:color w:val="auto"/>
                <w:spacing w:val="-5"/>
              </w:rPr>
              <w:t>报</w:t>
            </w:r>
            <w:r>
              <w:rPr>
                <w:color w:val="auto"/>
              </w:rPr>
              <w:t>价</w:t>
            </w:r>
            <w:r>
              <w:rPr>
                <w:rFonts w:hint="eastAsia"/>
                <w:color w:val="auto"/>
                <w:lang w:eastAsia="zh-CN"/>
              </w:rPr>
              <w:t>（</w:t>
            </w:r>
            <w:r>
              <w:rPr>
                <w:rFonts w:hint="eastAsia"/>
                <w:color w:val="auto"/>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935B106">
            <w:pPr>
              <w:pStyle w:val="17"/>
              <w:spacing w:before="78" w:line="293" w:lineRule="auto"/>
              <w:ind w:left="115" w:right="166" w:firstLine="10"/>
              <w:rPr>
                <w:color w:val="auto"/>
              </w:rPr>
            </w:pPr>
            <w:r>
              <w:rPr>
                <w:color w:val="auto"/>
                <w:spacing w:val="-1"/>
              </w:rPr>
              <w:t>（</w:t>
            </w:r>
            <w:r>
              <w:rPr>
                <w:rFonts w:ascii="Calibri" w:hAnsi="Calibri" w:eastAsia="Calibri" w:cs="Calibri"/>
                <w:color w:val="auto"/>
                <w:spacing w:val="-1"/>
              </w:rPr>
              <w:t>1</w:t>
            </w:r>
            <w:r>
              <w:rPr>
                <w:color w:val="auto"/>
                <w:spacing w:val="-1"/>
              </w:rPr>
              <w:t>）如果</w:t>
            </w:r>
            <w:r>
              <w:rPr>
                <w:rFonts w:hint="eastAsia"/>
                <w:color w:val="auto"/>
                <w:spacing w:val="1"/>
                <w:lang w:val="en-US" w:eastAsia="zh-CN"/>
              </w:rPr>
              <w:t>供应商</w:t>
            </w:r>
            <w:r>
              <w:rPr>
                <w:color w:val="auto"/>
                <w:spacing w:val="-1"/>
              </w:rPr>
              <w:t>的</w:t>
            </w:r>
            <w:r>
              <w:rPr>
                <w:rFonts w:hint="eastAsia"/>
                <w:color w:val="auto"/>
                <w:spacing w:val="-1"/>
                <w:lang w:val="en-US" w:eastAsia="zh-CN"/>
              </w:rPr>
              <w:t>报</w:t>
            </w:r>
            <w:r>
              <w:rPr>
                <w:color w:val="auto"/>
                <w:spacing w:val="-1"/>
              </w:rPr>
              <w:t>价</w:t>
            </w:r>
            <w:r>
              <w:rPr>
                <w:rFonts w:ascii="Calibri" w:hAnsi="Calibri" w:eastAsia="Calibri" w:cs="Calibri"/>
                <w:color w:val="auto"/>
                <w:spacing w:val="-1"/>
              </w:rPr>
              <w:t>&gt;</w:t>
            </w:r>
            <w:r>
              <w:rPr>
                <w:color w:val="auto"/>
                <w:spacing w:val="-1"/>
              </w:rPr>
              <w:t>评</w:t>
            </w:r>
            <w:r>
              <w:rPr>
                <w:rFonts w:hint="eastAsia"/>
                <w:color w:val="auto"/>
                <w:spacing w:val="-1"/>
                <w:lang w:val="en-US" w:eastAsia="zh-CN"/>
              </w:rPr>
              <w:t>审</w:t>
            </w:r>
            <w:r>
              <w:rPr>
                <w:color w:val="auto"/>
                <w:spacing w:val="-1"/>
              </w:rPr>
              <w:t>基准价，则</w:t>
            </w:r>
            <w:r>
              <w:rPr>
                <w:rFonts w:hint="eastAsia"/>
                <w:color w:val="auto"/>
                <w:spacing w:val="-1"/>
                <w:lang w:val="en-US" w:eastAsia="zh-CN"/>
              </w:rPr>
              <w:t>报</w:t>
            </w:r>
            <w:r>
              <w:rPr>
                <w:color w:val="auto"/>
                <w:spacing w:val="-1"/>
              </w:rPr>
              <w:t>价</w:t>
            </w:r>
            <w:r>
              <w:rPr>
                <w:color w:val="auto"/>
                <w:spacing w:val="-2"/>
              </w:rPr>
              <w:t>得分＝</w:t>
            </w:r>
            <w:r>
              <w:rPr>
                <w:rFonts w:ascii="Calibri" w:hAnsi="Calibri" w:eastAsia="Calibri" w:cs="Calibri"/>
                <w:color w:val="auto"/>
                <w:spacing w:val="-2"/>
              </w:rPr>
              <w:t>F</w:t>
            </w:r>
            <w:r>
              <w:rPr>
                <w:color w:val="auto"/>
                <w:spacing w:val="-2"/>
              </w:rPr>
              <w:t>－偏差率</w:t>
            </w:r>
            <w:r>
              <w:rPr>
                <w:rFonts w:ascii="Calibri" w:hAnsi="Calibri" w:eastAsia="Calibri" w:cs="Calibri"/>
                <w:color w:val="auto"/>
                <w:spacing w:val="-2"/>
              </w:rPr>
              <w:t>×100×</w:t>
            </w:r>
            <w:r>
              <w:rPr>
                <w:rFonts w:ascii="Calibri" w:hAnsi="Calibri" w:eastAsia="Calibri" w:cs="Calibri"/>
                <w:color w:val="auto"/>
                <w:spacing w:val="23"/>
              </w:rPr>
              <w:t xml:space="preserve"> </w:t>
            </w:r>
            <w:r>
              <w:rPr>
                <w:rFonts w:ascii="Calibri" w:hAnsi="Calibri" w:eastAsia="Calibri" w:cs="Calibri"/>
                <w:color w:val="auto"/>
                <w:spacing w:val="-2"/>
              </w:rPr>
              <w:t>E</w:t>
            </w:r>
            <w:r>
              <w:rPr>
                <w:rFonts w:ascii="Calibri" w:hAnsi="Calibri" w:eastAsia="Calibri" w:cs="Calibri"/>
                <w:color w:val="auto"/>
                <w:spacing w:val="-2"/>
                <w:position w:val="-2"/>
                <w:sz w:val="15"/>
                <w:szCs w:val="15"/>
              </w:rPr>
              <w:t>1</w:t>
            </w:r>
            <w:r>
              <w:rPr>
                <w:color w:val="auto"/>
                <w:spacing w:val="-2"/>
              </w:rPr>
              <w:t>；</w:t>
            </w:r>
          </w:p>
          <w:p w14:paraId="77652004">
            <w:pPr>
              <w:pStyle w:val="17"/>
              <w:spacing w:before="1" w:line="291" w:lineRule="auto"/>
              <w:ind w:left="115" w:right="166" w:firstLine="10"/>
              <w:rPr>
                <w:color w:val="auto"/>
              </w:rPr>
            </w:pPr>
            <w:r>
              <w:rPr>
                <w:color w:val="auto"/>
                <w:spacing w:val="-1"/>
              </w:rPr>
              <w:t>（</w:t>
            </w:r>
            <w:r>
              <w:rPr>
                <w:rFonts w:ascii="Calibri" w:hAnsi="Calibri" w:eastAsia="Calibri" w:cs="Calibri"/>
                <w:color w:val="auto"/>
                <w:spacing w:val="-1"/>
              </w:rPr>
              <w:t>2</w:t>
            </w:r>
            <w:r>
              <w:rPr>
                <w:color w:val="auto"/>
                <w:spacing w:val="-1"/>
              </w:rPr>
              <w:t>）如果</w:t>
            </w:r>
            <w:r>
              <w:rPr>
                <w:rFonts w:hint="eastAsia"/>
                <w:color w:val="auto"/>
                <w:spacing w:val="1"/>
                <w:lang w:val="en-US" w:eastAsia="zh-CN"/>
              </w:rPr>
              <w:t>供应商</w:t>
            </w:r>
            <w:r>
              <w:rPr>
                <w:color w:val="auto"/>
                <w:spacing w:val="-1"/>
              </w:rPr>
              <w:t>的</w:t>
            </w:r>
            <w:r>
              <w:rPr>
                <w:rFonts w:hint="eastAsia"/>
                <w:color w:val="auto"/>
                <w:spacing w:val="-1"/>
                <w:lang w:val="en-US" w:eastAsia="zh-CN"/>
              </w:rPr>
              <w:t>报</w:t>
            </w:r>
            <w:r>
              <w:rPr>
                <w:color w:val="auto"/>
                <w:spacing w:val="-1"/>
              </w:rPr>
              <w:t>价</w:t>
            </w:r>
            <w:r>
              <w:rPr>
                <w:rFonts w:ascii="Calibri" w:hAnsi="Calibri" w:eastAsia="Calibri" w:cs="Calibri"/>
                <w:color w:val="auto"/>
                <w:spacing w:val="-1"/>
              </w:rPr>
              <w:t>≤</w:t>
            </w:r>
            <w:r>
              <w:rPr>
                <w:color w:val="auto"/>
                <w:spacing w:val="-1"/>
              </w:rPr>
              <w:t>评</w:t>
            </w:r>
            <w:r>
              <w:rPr>
                <w:rFonts w:hint="eastAsia"/>
                <w:color w:val="auto"/>
                <w:spacing w:val="-1"/>
                <w:lang w:val="en-US" w:eastAsia="zh-CN"/>
              </w:rPr>
              <w:t>审</w:t>
            </w:r>
            <w:r>
              <w:rPr>
                <w:color w:val="auto"/>
                <w:spacing w:val="-1"/>
              </w:rPr>
              <w:t>基准价，则</w:t>
            </w:r>
            <w:r>
              <w:rPr>
                <w:rFonts w:hint="eastAsia"/>
                <w:color w:val="auto"/>
                <w:spacing w:val="-1"/>
                <w:lang w:val="en-US" w:eastAsia="zh-CN"/>
              </w:rPr>
              <w:t>报</w:t>
            </w:r>
            <w:r>
              <w:rPr>
                <w:color w:val="auto"/>
                <w:spacing w:val="-1"/>
              </w:rPr>
              <w:t>价</w:t>
            </w:r>
            <w:r>
              <w:rPr>
                <w:color w:val="auto"/>
                <w:spacing w:val="-3"/>
              </w:rPr>
              <w:t>得分＝</w:t>
            </w:r>
            <w:r>
              <w:rPr>
                <w:rFonts w:ascii="Calibri" w:hAnsi="Calibri" w:eastAsia="Calibri" w:cs="Calibri"/>
                <w:color w:val="auto"/>
                <w:spacing w:val="-3"/>
              </w:rPr>
              <w:t>F</w:t>
            </w:r>
            <w:r>
              <w:rPr>
                <w:color w:val="auto"/>
                <w:spacing w:val="-3"/>
              </w:rPr>
              <w:t>＋偏差率</w:t>
            </w:r>
            <w:r>
              <w:rPr>
                <w:rFonts w:ascii="Calibri" w:hAnsi="Calibri" w:eastAsia="Calibri" w:cs="Calibri"/>
                <w:color w:val="auto"/>
                <w:spacing w:val="-3"/>
              </w:rPr>
              <w:t>×</w:t>
            </w:r>
            <w:r>
              <w:rPr>
                <w:rFonts w:ascii="Calibri" w:hAnsi="Calibri" w:eastAsia="Calibri" w:cs="Calibri"/>
                <w:color w:val="auto"/>
                <w:spacing w:val="19"/>
              </w:rPr>
              <w:t xml:space="preserve"> </w:t>
            </w:r>
            <w:r>
              <w:rPr>
                <w:rFonts w:ascii="Calibri" w:hAnsi="Calibri" w:eastAsia="Calibri" w:cs="Calibri"/>
                <w:color w:val="auto"/>
                <w:spacing w:val="-3"/>
              </w:rPr>
              <w:t>100×</w:t>
            </w:r>
            <w:r>
              <w:rPr>
                <w:rFonts w:ascii="Calibri" w:hAnsi="Calibri" w:eastAsia="Calibri" w:cs="Calibri"/>
                <w:color w:val="auto"/>
                <w:spacing w:val="19"/>
              </w:rPr>
              <w:t xml:space="preserve"> </w:t>
            </w:r>
            <w:r>
              <w:rPr>
                <w:rFonts w:ascii="Calibri" w:hAnsi="Calibri" w:eastAsia="Calibri" w:cs="Calibri"/>
                <w:color w:val="auto"/>
                <w:spacing w:val="-3"/>
              </w:rPr>
              <w:t>E</w:t>
            </w:r>
            <w:r>
              <w:rPr>
                <w:rFonts w:ascii="Calibri" w:hAnsi="Calibri" w:eastAsia="Calibri" w:cs="Calibri"/>
                <w:color w:val="auto"/>
                <w:spacing w:val="-3"/>
                <w:position w:val="-2"/>
                <w:sz w:val="15"/>
                <w:szCs w:val="15"/>
              </w:rPr>
              <w:t>2</w:t>
            </w:r>
            <w:r>
              <w:rPr>
                <w:color w:val="auto"/>
                <w:spacing w:val="-3"/>
              </w:rPr>
              <w:t>。</w:t>
            </w:r>
          </w:p>
          <w:p w14:paraId="5B94683B">
            <w:pPr>
              <w:pStyle w:val="17"/>
              <w:spacing w:line="220" w:lineRule="auto"/>
              <w:ind w:left="115"/>
              <w:rPr>
                <w:color w:val="auto"/>
              </w:rPr>
            </w:pPr>
            <w:r>
              <w:rPr>
                <w:color w:val="auto"/>
                <w:spacing w:val="-3"/>
              </w:rPr>
              <w:t>其中：</w:t>
            </w:r>
            <w:r>
              <w:rPr>
                <w:rFonts w:ascii="Calibri" w:hAnsi="Calibri" w:eastAsia="Calibri" w:cs="Calibri"/>
                <w:color w:val="auto"/>
                <w:spacing w:val="-3"/>
              </w:rPr>
              <w:t>F=10</w:t>
            </w:r>
            <w:r>
              <w:rPr>
                <w:rFonts w:ascii="Calibri" w:hAnsi="Calibri" w:eastAsia="Calibri" w:cs="Calibri"/>
                <w:color w:val="auto"/>
                <w:spacing w:val="-26"/>
              </w:rPr>
              <w:t xml:space="preserve"> </w:t>
            </w:r>
            <w:r>
              <w:rPr>
                <w:color w:val="auto"/>
                <w:spacing w:val="-3"/>
              </w:rPr>
              <w:t>，</w:t>
            </w:r>
            <w:r>
              <w:rPr>
                <w:rFonts w:ascii="Calibri" w:hAnsi="Calibri" w:eastAsia="Calibri" w:cs="Calibri"/>
                <w:color w:val="auto"/>
                <w:spacing w:val="-3"/>
              </w:rPr>
              <w:t>E</w:t>
            </w:r>
            <w:r>
              <w:rPr>
                <w:rFonts w:ascii="Calibri" w:hAnsi="Calibri" w:eastAsia="Calibri" w:cs="Calibri"/>
                <w:color w:val="auto"/>
                <w:spacing w:val="-3"/>
                <w:position w:val="-2"/>
                <w:sz w:val="15"/>
                <w:szCs w:val="15"/>
              </w:rPr>
              <w:t>1</w:t>
            </w:r>
            <w:r>
              <w:rPr>
                <w:rFonts w:ascii="Calibri" w:hAnsi="Calibri" w:eastAsia="Calibri" w:cs="Calibri"/>
                <w:color w:val="auto"/>
                <w:spacing w:val="-3"/>
              </w:rPr>
              <w:t>=0.2</w:t>
            </w:r>
            <w:r>
              <w:rPr>
                <w:rFonts w:ascii="Calibri" w:hAnsi="Calibri" w:eastAsia="Calibri" w:cs="Calibri"/>
                <w:color w:val="auto"/>
                <w:spacing w:val="-24"/>
              </w:rPr>
              <w:t xml:space="preserve"> </w:t>
            </w:r>
            <w:r>
              <w:rPr>
                <w:color w:val="auto"/>
                <w:spacing w:val="-3"/>
              </w:rPr>
              <w:t>，</w:t>
            </w:r>
            <w:r>
              <w:rPr>
                <w:rFonts w:ascii="Calibri" w:hAnsi="Calibri" w:eastAsia="Calibri" w:cs="Calibri"/>
                <w:color w:val="auto"/>
                <w:spacing w:val="-3"/>
              </w:rPr>
              <w:t>E</w:t>
            </w:r>
            <w:r>
              <w:rPr>
                <w:rFonts w:ascii="Calibri" w:hAnsi="Calibri" w:eastAsia="Calibri" w:cs="Calibri"/>
                <w:color w:val="auto"/>
                <w:spacing w:val="-3"/>
                <w:position w:val="-2"/>
                <w:sz w:val="15"/>
                <w:szCs w:val="15"/>
              </w:rPr>
              <w:t>2</w:t>
            </w:r>
            <w:r>
              <w:rPr>
                <w:rFonts w:ascii="Calibri" w:hAnsi="Calibri" w:eastAsia="Calibri" w:cs="Calibri"/>
                <w:color w:val="auto"/>
                <w:spacing w:val="-3"/>
              </w:rPr>
              <w:t>=0.1</w:t>
            </w:r>
            <w:r>
              <w:rPr>
                <w:color w:val="auto"/>
                <w:spacing w:val="-3"/>
              </w:rPr>
              <w:t>。</w:t>
            </w:r>
          </w:p>
          <w:p w14:paraId="5AE70EBC">
            <w:pPr>
              <w:pStyle w:val="17"/>
              <w:numPr>
                <w:ilvl w:val="0"/>
                <w:numId w:val="1"/>
              </w:numPr>
              <w:spacing w:before="25" w:line="218" w:lineRule="auto"/>
              <w:ind w:left="126"/>
              <w:rPr>
                <w:color w:val="auto"/>
                <w:spacing w:val="-4"/>
              </w:rPr>
            </w:pPr>
            <w:r>
              <w:rPr>
                <w:rFonts w:hint="eastAsia"/>
                <w:color w:val="auto"/>
                <w:spacing w:val="-4"/>
                <w:lang w:val="en-US" w:eastAsia="zh-CN"/>
              </w:rPr>
              <w:t>报</w:t>
            </w:r>
            <w:r>
              <w:rPr>
                <w:color w:val="auto"/>
                <w:spacing w:val="-4"/>
              </w:rPr>
              <w:t>价得分最低为</w:t>
            </w:r>
            <w:r>
              <w:rPr>
                <w:color w:val="auto"/>
                <w:spacing w:val="-40"/>
              </w:rPr>
              <w:t xml:space="preserve"> </w:t>
            </w:r>
            <w:r>
              <w:rPr>
                <w:rFonts w:ascii="Calibri" w:hAnsi="Calibri" w:eastAsia="Calibri" w:cs="Calibri"/>
                <w:color w:val="auto"/>
                <w:spacing w:val="-4"/>
              </w:rPr>
              <w:t>0</w:t>
            </w:r>
            <w:r>
              <w:rPr>
                <w:rFonts w:ascii="Calibri" w:hAnsi="Calibri" w:eastAsia="Calibri" w:cs="Calibri"/>
                <w:color w:val="auto"/>
                <w:spacing w:val="19"/>
              </w:rPr>
              <w:t xml:space="preserve"> </w:t>
            </w:r>
            <w:r>
              <w:rPr>
                <w:color w:val="auto"/>
                <w:spacing w:val="-4"/>
              </w:rPr>
              <w:t>分。</w:t>
            </w:r>
          </w:p>
          <w:p w14:paraId="6C33512F">
            <w:pPr>
              <w:keepNext w:val="0"/>
              <w:keepLines w:val="0"/>
              <w:pageBreakBefore w:val="0"/>
              <w:widowControl w:val="0"/>
              <w:kinsoku/>
              <w:wordWrap w:val="0"/>
              <w:overflowPunct/>
              <w:topLinePunct w:val="0"/>
              <w:autoSpaceDE/>
              <w:autoSpaceDN/>
              <w:bidi w:val="0"/>
              <w:adjustRightInd/>
              <w:snapToGrid/>
              <w:spacing w:line="440" w:lineRule="exact"/>
              <w:ind w:firstLine="202" w:firstLineChars="100"/>
              <w:textAlignment w:val="auto"/>
              <w:rPr>
                <w:rFonts w:hint="default" w:ascii="Times New Roman" w:hAnsi="Times New Roman" w:cs="Times New Roman"/>
                <w:color w:val="auto"/>
                <w:kern w:val="0"/>
                <w:sz w:val="24"/>
                <w:szCs w:val="24"/>
                <w:highlight w:val="none"/>
                <w:lang w:val="en-US" w:eastAsia="zh-CN"/>
              </w:rPr>
            </w:pPr>
            <w:r>
              <w:rPr>
                <w:rFonts w:hint="eastAsia"/>
                <w:color w:val="auto"/>
                <w:spacing w:val="-4"/>
                <w:lang w:eastAsia="zh-CN"/>
              </w:rPr>
              <w:t>（</w:t>
            </w:r>
            <w:r>
              <w:rPr>
                <w:rFonts w:hint="eastAsia"/>
                <w:color w:val="auto"/>
                <w:spacing w:val="-4"/>
                <w:lang w:val="en-US" w:eastAsia="zh-CN"/>
              </w:rPr>
              <w:t>4</w:t>
            </w:r>
            <w:r>
              <w:rPr>
                <w:rFonts w:hint="eastAsia"/>
                <w:color w:val="auto"/>
                <w:spacing w:val="-4"/>
                <w:lang w:eastAsia="zh-CN"/>
              </w:rPr>
              <w:t>）</w:t>
            </w:r>
            <w:r>
              <w:rPr>
                <w:rFonts w:hint="eastAsia"/>
                <w:color w:val="auto"/>
                <w:spacing w:val="-4"/>
              </w:rPr>
              <w:t>如</w:t>
            </w:r>
            <w:r>
              <w:rPr>
                <w:rFonts w:hint="eastAsia"/>
                <w:color w:val="auto"/>
                <w:spacing w:val="1"/>
                <w:lang w:val="en-US" w:eastAsia="zh-CN"/>
              </w:rPr>
              <w:t>供应商</w:t>
            </w:r>
            <w:r>
              <w:rPr>
                <w:rFonts w:hint="eastAsia"/>
                <w:color w:val="auto"/>
                <w:spacing w:val="-4"/>
              </w:rPr>
              <w:t>的</w:t>
            </w:r>
            <w:r>
              <w:rPr>
                <w:rFonts w:hint="eastAsia"/>
                <w:color w:val="auto"/>
                <w:spacing w:val="-4"/>
                <w:lang w:val="en-US" w:eastAsia="zh-CN"/>
              </w:rPr>
              <w:t>报</w:t>
            </w:r>
            <w:r>
              <w:rPr>
                <w:rFonts w:hint="eastAsia"/>
                <w:color w:val="auto"/>
                <w:spacing w:val="-4"/>
              </w:rPr>
              <w:t>价同时低于最高限价的 85%和</w:t>
            </w:r>
            <w:r>
              <w:rPr>
                <w:rFonts w:hint="eastAsia"/>
                <w:color w:val="auto"/>
                <w:spacing w:val="-4"/>
                <w:lang w:val="en-US" w:eastAsia="zh-CN"/>
              </w:rPr>
              <w:t>评审基准价</w:t>
            </w:r>
            <w:r>
              <w:rPr>
                <w:rFonts w:hint="eastAsia"/>
                <w:color w:val="auto"/>
                <w:spacing w:val="-4"/>
              </w:rPr>
              <w:t>的</w:t>
            </w:r>
            <w:r>
              <w:rPr>
                <w:rFonts w:hint="eastAsia"/>
                <w:color w:val="auto"/>
                <w:spacing w:val="-4"/>
                <w:lang w:val="en-US" w:eastAsia="zh-CN"/>
              </w:rPr>
              <w:t>8</w:t>
            </w:r>
            <w:r>
              <w:rPr>
                <w:rFonts w:hint="eastAsia"/>
                <w:color w:val="auto"/>
                <w:spacing w:val="-4"/>
              </w:rPr>
              <w:t>0%时，应当启动澄清程序，评</w:t>
            </w:r>
            <w:r>
              <w:rPr>
                <w:rFonts w:hint="eastAsia"/>
                <w:color w:val="auto"/>
                <w:spacing w:val="-4"/>
                <w:lang w:val="en-US" w:eastAsia="zh-CN"/>
              </w:rPr>
              <w:t>审</w:t>
            </w:r>
            <w:r>
              <w:rPr>
                <w:rFonts w:hint="eastAsia"/>
                <w:color w:val="auto"/>
                <w:spacing w:val="-4"/>
              </w:rPr>
              <w:t>委员会将要求该</w:t>
            </w:r>
            <w:r>
              <w:rPr>
                <w:rFonts w:hint="eastAsia"/>
                <w:color w:val="auto"/>
                <w:spacing w:val="1"/>
                <w:lang w:val="en-US" w:eastAsia="zh-CN"/>
              </w:rPr>
              <w:t>供应商</w:t>
            </w:r>
            <w:r>
              <w:rPr>
                <w:rFonts w:hint="eastAsia"/>
                <w:color w:val="auto"/>
                <w:spacing w:val="-4"/>
              </w:rPr>
              <w:t>作出书面说明并提供相应的证明材料。</w:t>
            </w:r>
            <w:r>
              <w:rPr>
                <w:rFonts w:hint="eastAsia"/>
                <w:color w:val="auto"/>
                <w:spacing w:val="1"/>
                <w:lang w:val="en-US" w:eastAsia="zh-CN"/>
              </w:rPr>
              <w:t>供应商</w:t>
            </w:r>
            <w:r>
              <w:rPr>
                <w:rFonts w:hint="eastAsia"/>
                <w:color w:val="auto"/>
                <w:spacing w:val="-4"/>
              </w:rPr>
              <w:t>不能合理说明或者不能提供相应证明材料的，评</w:t>
            </w:r>
            <w:r>
              <w:rPr>
                <w:rFonts w:hint="eastAsia"/>
                <w:color w:val="auto"/>
                <w:spacing w:val="-4"/>
                <w:lang w:val="en-US" w:eastAsia="zh-CN"/>
              </w:rPr>
              <w:t>审</w:t>
            </w:r>
            <w:r>
              <w:rPr>
                <w:rFonts w:hint="eastAsia"/>
                <w:color w:val="auto"/>
                <w:spacing w:val="-4"/>
              </w:rPr>
              <w:t>委员会将认定该</w:t>
            </w:r>
            <w:r>
              <w:rPr>
                <w:rFonts w:hint="eastAsia"/>
                <w:color w:val="auto"/>
                <w:spacing w:val="1"/>
                <w:lang w:val="en-US" w:eastAsia="zh-CN"/>
              </w:rPr>
              <w:t>供应商</w:t>
            </w:r>
            <w:r>
              <w:rPr>
                <w:rFonts w:hint="eastAsia"/>
                <w:color w:val="auto"/>
                <w:spacing w:val="-4"/>
              </w:rPr>
              <w:t>以低于成本报价竞标，其</w:t>
            </w:r>
            <w:r>
              <w:rPr>
                <w:rFonts w:hint="eastAsia"/>
                <w:color w:val="auto"/>
                <w:spacing w:val="-4"/>
                <w:lang w:val="en-US" w:eastAsia="zh-CN"/>
              </w:rPr>
              <w:t>响应</w:t>
            </w:r>
            <w:r>
              <w:rPr>
                <w:rFonts w:hint="eastAsia"/>
                <w:color w:val="auto"/>
                <w:spacing w:val="-4"/>
              </w:rPr>
              <w:t>将被否决。</w:t>
            </w:r>
          </w:p>
        </w:tc>
      </w:tr>
      <w:permEnd w:id="65"/>
      <w:permEnd w:id="66"/>
      <w:permEnd w:id="67"/>
    </w:tbl>
    <w:p w14:paraId="1B8D9983">
      <w:pPr>
        <w:spacing w:before="173"/>
        <w:rPr>
          <w:color w:val="auto"/>
        </w:rPr>
      </w:pPr>
    </w:p>
    <w:p w14:paraId="5BEA7EC4">
      <w:pPr>
        <w:rPr>
          <w:rFonts w:hint="default" w:ascii="Times New Roman" w:hAnsi="Times New Roman" w:cs="Times New Roman" w:eastAsiaTheme="minorEastAsia"/>
          <w:b/>
          <w:bCs/>
          <w:color w:val="auto"/>
          <w:kern w:val="0"/>
          <w:sz w:val="28"/>
          <w:szCs w:val="28"/>
          <w:highlight w:val="none"/>
        </w:rPr>
      </w:pPr>
    </w:p>
    <w:p w14:paraId="6F53FF91">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eastAsiaTheme="minorEastAsia"/>
          <w:b/>
          <w:bCs/>
          <w:color w:val="auto"/>
          <w:kern w:val="0"/>
          <w:sz w:val="28"/>
          <w:szCs w:val="28"/>
          <w:highlight w:val="none"/>
          <w:lang w:val="en-US" w:eastAsia="zh-CN"/>
        </w:rPr>
        <w:t>综合评估法</w:t>
      </w:r>
      <w:r>
        <w:rPr>
          <w:rFonts w:hint="eastAsia" w:ascii="Times New Roman" w:hAnsi="Times New Roman" w:cs="Times New Roman"/>
          <w:b/>
          <w:bCs/>
          <w:color w:val="auto"/>
          <w:kern w:val="0"/>
          <w:sz w:val="28"/>
          <w:szCs w:val="28"/>
          <w:highlight w:val="none"/>
          <w:lang w:val="en-US" w:eastAsia="zh-CN"/>
        </w:rPr>
        <w:t>）</w:t>
      </w:r>
    </w:p>
    <w:p w14:paraId="2C880A3A">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val="en-US" w:eastAsia="zh-CN"/>
        </w:rPr>
        <w:t>评审</w:t>
      </w:r>
      <w:r>
        <w:rPr>
          <w:rFonts w:hint="default" w:ascii="Times New Roman" w:hAnsi="Times New Roman" w:cs="Times New Roman" w:eastAsiaTheme="minorEastAsia"/>
          <w:color w:val="auto"/>
          <w:kern w:val="0"/>
          <w:sz w:val="24"/>
          <w:szCs w:val="24"/>
          <w:highlight w:val="none"/>
        </w:rPr>
        <w:t>采用</w:t>
      </w:r>
      <w:r>
        <w:rPr>
          <w:rFonts w:hint="eastAsia" w:ascii="Times New Roman" w:hAnsi="Times New Roman" w:cs="Times New Roman"/>
          <w:color w:val="auto"/>
          <w:kern w:val="0"/>
          <w:sz w:val="24"/>
          <w:szCs w:val="24"/>
          <w:highlight w:val="none"/>
          <w:lang w:val="en-US" w:eastAsia="zh-CN"/>
        </w:rPr>
        <w:t>综合评估法</w:t>
      </w:r>
      <w:r>
        <w:rPr>
          <w:rFonts w:hint="default" w:ascii="Times New Roman" w:hAnsi="Times New Roman" w:cs="Times New Roman" w:eastAsiaTheme="minorEastAsia"/>
          <w:color w:val="auto"/>
          <w:kern w:val="0"/>
          <w:sz w:val="24"/>
          <w:szCs w:val="24"/>
          <w:highlight w:val="none"/>
        </w:rPr>
        <w:t>。评标委员会对满足</w:t>
      </w:r>
      <w:r>
        <w:rPr>
          <w:rFonts w:hint="eastAsia" w:ascii="Times New Roman" w:hAnsi="Times New Roman" w:cs="Times New Roman"/>
          <w:color w:val="auto"/>
          <w:kern w:val="0"/>
          <w:sz w:val="24"/>
          <w:szCs w:val="24"/>
          <w:highlight w:val="none"/>
          <w:lang w:val="en-US" w:eastAsia="zh-CN"/>
        </w:rPr>
        <w:t>询比</w:t>
      </w:r>
      <w:r>
        <w:rPr>
          <w:rFonts w:hint="default" w:ascii="Times New Roman" w:hAnsi="Times New Roman" w:cs="Times New Roman" w:eastAsiaTheme="minorEastAsia"/>
          <w:color w:val="auto"/>
          <w:kern w:val="0"/>
          <w:sz w:val="24"/>
          <w:szCs w:val="24"/>
          <w:highlight w:val="none"/>
        </w:rPr>
        <w:t>文件实质要求的</w:t>
      </w: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文件，按照本章</w:t>
      </w:r>
      <w:r>
        <w:rPr>
          <w:rFonts w:hint="eastAsia" w:ascii="Times New Roman" w:hAnsi="Times New Roman" w:cs="Times New Roman"/>
          <w:color w:val="auto"/>
          <w:kern w:val="0"/>
          <w:sz w:val="24"/>
          <w:szCs w:val="24"/>
          <w:highlight w:val="none"/>
          <w:lang w:val="en-US" w:eastAsia="zh-CN"/>
        </w:rPr>
        <w:t>评审程序</w:t>
      </w:r>
      <w:r>
        <w:rPr>
          <w:rFonts w:hint="default" w:ascii="Times New Roman" w:hAnsi="Times New Roman" w:cs="Times New Roman" w:eastAsiaTheme="minorEastAsia"/>
          <w:color w:val="auto"/>
          <w:kern w:val="0"/>
          <w:sz w:val="24"/>
          <w:szCs w:val="24"/>
          <w:highlight w:val="none"/>
        </w:rPr>
        <w:t>中的评</w:t>
      </w:r>
      <w:r>
        <w:rPr>
          <w:rFonts w:hint="eastAsia" w:ascii="Times New Roman" w:hAnsi="Times New Roman" w:cs="Times New Roman"/>
          <w:color w:val="auto"/>
          <w:kern w:val="0"/>
          <w:sz w:val="24"/>
          <w:szCs w:val="24"/>
          <w:highlight w:val="none"/>
          <w:lang w:val="en-US" w:eastAsia="zh-CN"/>
        </w:rPr>
        <w:t>审规则</w:t>
      </w:r>
      <w:r>
        <w:rPr>
          <w:rFonts w:hint="default" w:ascii="Times New Roman" w:hAnsi="Times New Roman" w:cs="Times New Roman" w:eastAsiaTheme="minorEastAsia"/>
          <w:color w:val="auto"/>
          <w:kern w:val="0"/>
          <w:sz w:val="24"/>
          <w:szCs w:val="24"/>
          <w:highlight w:val="none"/>
        </w:rPr>
        <w:t>推荐</w:t>
      </w:r>
      <w:r>
        <w:rPr>
          <w:rFonts w:hint="eastAsia" w:ascii="Times New Roman" w:hAnsi="Times New Roman" w:cs="Times New Roman"/>
          <w:color w:val="auto"/>
          <w:kern w:val="0"/>
          <w:sz w:val="24"/>
          <w:szCs w:val="24"/>
          <w:highlight w:val="none"/>
          <w:lang w:val="en-US" w:eastAsia="zh-CN"/>
        </w:rPr>
        <w:t>成交</w:t>
      </w:r>
      <w:r>
        <w:rPr>
          <w:rFonts w:hint="default" w:ascii="Times New Roman" w:hAnsi="Times New Roman" w:cs="Times New Roman" w:eastAsiaTheme="minorEastAsia"/>
          <w:color w:val="auto"/>
          <w:kern w:val="0"/>
          <w:sz w:val="24"/>
          <w:szCs w:val="24"/>
          <w:highlight w:val="none"/>
        </w:rPr>
        <w:t>候选人，</w:t>
      </w:r>
      <w:r>
        <w:rPr>
          <w:rFonts w:hint="eastAsia" w:ascii="Times New Roman" w:hAnsi="Times New Roman" w:cs="Times New Roman"/>
          <w:color w:val="auto"/>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179632611"/>
      <w:bookmarkStart w:id="242" w:name="_Toc247085751"/>
      <w:bookmarkStart w:id="243" w:name="_Toc296602481"/>
      <w:bookmarkStart w:id="244" w:name="_Toc246996236"/>
      <w:bookmarkStart w:id="245" w:name="_Toc144974560"/>
      <w:bookmarkStart w:id="246" w:name="_Toc152045593"/>
      <w:bookmarkStart w:id="247" w:name="_Toc152042370"/>
      <w:bookmarkStart w:id="248" w:name="_Toc246996979"/>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46996239"/>
      <w:bookmarkStart w:id="251" w:name="_Toc179632614"/>
      <w:bookmarkStart w:id="252" w:name="_Toc296602484"/>
      <w:bookmarkStart w:id="253" w:name="_Toc152042373"/>
      <w:bookmarkStart w:id="254" w:name="_Toc152045596"/>
      <w:bookmarkStart w:id="255" w:name="_Toc246996982"/>
      <w:bookmarkStart w:id="256" w:name="_Toc247085754"/>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安徽通达利交通建设管理有限公司  </w:t>
            </w:r>
            <w:permEnd w:id="6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41DA1E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成交人每年度完成项目检测评定内容，完成年报系统上报及审核后，采购人向成交人支付当年度检测费用的97%，余款3%作为质保金，质保期自完成当年度年报系统上报及审核后起算3个月，质保期满后（无质量纠纷或质量纠纷已解决）无息付清余款。</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color w:val="auto"/>
                <w:kern w:val="0"/>
                <w:sz w:val="24"/>
                <w:szCs w:val="24"/>
                <w:highlight w:val="none"/>
                <w:shd w:val="clear" w:color="auto" w:fill="auto"/>
                <w:vertAlign w:val="baseline"/>
                <w:lang w:val="en-US" w:eastAsia="zh-CN"/>
              </w:rPr>
              <w:t>/</w:t>
            </w:r>
            <w:permEnd w:id="69"/>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0C4854B7">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1.具体检测内容依据《公路沥青路面养护技术规范》（JTG 5142-2019）、《</w:t>
      </w:r>
      <w:r>
        <w:rPr>
          <w:rFonts w:hint="default" w:ascii="Times New Roman" w:hAnsi="Times New Roman" w:cs="Times New Roman"/>
          <w:color w:val="auto"/>
          <w:sz w:val="32"/>
          <w:szCs w:val="32"/>
          <w:lang w:val="en-US" w:eastAsia="zh-CN"/>
        </w:rPr>
        <w:t>公路路基路面现场测试规程》</w:t>
      </w:r>
      <w:r>
        <w:rPr>
          <w:rFonts w:hint="eastAsia" w:ascii="Times New Roman" w:hAnsi="Times New Roman" w:cs="Times New Roman"/>
          <w:color w:val="auto"/>
          <w:sz w:val="32"/>
          <w:szCs w:val="32"/>
          <w:lang w:val="en-US" w:eastAsia="zh-CN"/>
        </w:rPr>
        <w:t>（</w:t>
      </w:r>
      <w:r>
        <w:rPr>
          <w:rFonts w:hint="default" w:ascii="Times New Roman" w:hAnsi="Times New Roman" w:cs="Times New Roman"/>
          <w:color w:val="auto"/>
          <w:sz w:val="32"/>
          <w:szCs w:val="32"/>
          <w:lang w:val="en-US" w:eastAsia="zh-CN"/>
        </w:rPr>
        <w:t>JTG3450—2019</w:t>
      </w:r>
      <w:r>
        <w:rPr>
          <w:rFonts w:hint="eastAsia" w:ascii="Times New Roman" w:hAnsi="Times New Roman" w:cs="Times New Roman"/>
          <w:color w:val="auto"/>
          <w:sz w:val="32"/>
          <w:szCs w:val="32"/>
          <w:lang w:val="en-US" w:eastAsia="zh-CN"/>
        </w:rPr>
        <w:t>）、《公路技术状况评定标准》（JTG 5210-2018）、《公路路面技术状况自动化检测规程》（JTG∕T E61-2014）、《公路桥梁技术状况评定标准》（JTG/T H21—2011）和《公路桥涵养护规范》（JTG 5120—2021）执行。</w:t>
      </w:r>
    </w:p>
    <w:p w14:paraId="06836892">
      <w:pPr>
        <w:pStyle w:val="13"/>
        <w:rPr>
          <w:rFonts w:hint="default"/>
          <w:color w:val="auto"/>
          <w:lang w:val="en-US" w:eastAsia="zh-CN"/>
        </w:rPr>
      </w:pPr>
      <w:r>
        <w:rPr>
          <w:rFonts w:hint="eastAsia" w:ascii="Times New Roman" w:hAnsi="Times New Roman" w:cs="Times New Roman"/>
          <w:color w:val="auto"/>
          <w:sz w:val="32"/>
          <w:szCs w:val="32"/>
          <w:lang w:val="en-US" w:eastAsia="zh-CN"/>
        </w:rPr>
        <w:t>2.图纸：详见附件。</w:t>
      </w:r>
    </w:p>
    <w:p w14:paraId="762DFFCD">
      <w:pP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rPr>
      </w:pPr>
      <w:bookmarkStart w:id="257" w:name="_Toc300835209"/>
      <w:bookmarkStart w:id="258" w:name="_Toc152042576"/>
      <w:bookmarkStart w:id="259" w:name="_Toc247514246"/>
      <w:bookmarkStart w:id="260" w:name="_Toc144974856"/>
      <w:bookmarkStart w:id="261" w:name="_Toc152045787"/>
      <w:bookmarkStart w:id="262" w:name="_Toc247527827"/>
      <w:r>
        <w:rPr>
          <w:rFonts w:hint="default" w:ascii="Times New Roman" w:hAnsi="Times New Roman" w:cs="Times New Roman"/>
          <w:color w:val="auto"/>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42DEEDB5">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1665E5C4">
      <w:pPr>
        <w:pStyle w:val="3"/>
        <w:jc w:val="center"/>
        <w:rPr>
          <w:rFonts w:hint="default" w:ascii="Times New Roman" w:hAnsi="Times New Roman" w:eastAsia="黑体" w:cs="Times New Roman"/>
          <w:color w:val="auto"/>
          <w:sz w:val="20"/>
          <w:szCs w:val="20"/>
        </w:rPr>
      </w:pPr>
      <w:bookmarkStart w:id="263" w:name="_Toc247514247"/>
      <w:bookmarkStart w:id="264" w:name="_Toc144974857"/>
      <w:bookmarkStart w:id="265" w:name="_Toc152045788"/>
      <w:bookmarkStart w:id="266" w:name="_Toc152042577"/>
      <w:bookmarkStart w:id="267" w:name="_Toc247527828"/>
      <w:bookmarkStart w:id="268" w:name="_Toc300835210"/>
      <w:r>
        <w:rPr>
          <w:rFonts w:hint="default" w:ascii="Times New Roman" w:hAnsi="Times New Roman" w:cs="Times New Roman"/>
          <w:color w:val="auto"/>
        </w:rPr>
        <w:t>一、</w:t>
      </w:r>
      <w:r>
        <w:rPr>
          <w:rFonts w:hint="eastAsia" w:ascii="Times New Roman" w:hAnsi="Times New Roman" w:cs="Times New Roman"/>
          <w:color w:val="auto"/>
          <w:lang w:val="en-US" w:eastAsia="zh-CN"/>
        </w:rPr>
        <w:t>报价</w:t>
      </w:r>
      <w:r>
        <w:rPr>
          <w:rFonts w:hint="default" w:ascii="Times New Roman" w:hAnsi="Times New Roman" w:cs="Times New Roman"/>
          <w:color w:val="auto"/>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rPr>
      </w:pPr>
      <w:bookmarkStart w:id="269" w:name="_Toc247514249"/>
      <w:bookmarkStart w:id="270" w:name="_Toc152042579"/>
      <w:bookmarkStart w:id="271" w:name="_Toc247527830"/>
      <w:bookmarkStart w:id="272" w:name="_Toc144974859"/>
      <w:bookmarkStart w:id="273" w:name="_Toc152045790"/>
      <w:bookmarkStart w:id="274" w:name="_Toc300835212"/>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名称）：</w:t>
      </w:r>
    </w:p>
    <w:p w14:paraId="6C5C830D">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（项目名称）   </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项目编号：</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u w:val="none"/>
          <w:lang w:val="en-US" w:eastAsia="zh-CN"/>
        </w:rPr>
        <w:t>）</w:t>
      </w:r>
      <w:r>
        <w:rPr>
          <w:rFonts w:hint="eastAsia" w:ascii="Times New Roman" w:hAnsi="Times New Roman" w:cs="Times New Roman"/>
          <w:color w:val="auto"/>
          <w:szCs w:val="21"/>
          <w:lang w:val="en-US" w:eastAsia="zh-CN"/>
        </w:rPr>
        <w:t>项目询比文件的全部内容，愿意以</w:t>
      </w:r>
      <w:permStart w:id="70" w:edGrp="everyone"/>
      <w:r>
        <w:rPr>
          <w:rFonts w:hint="eastAsia" w:ascii="Times New Roman" w:hAnsi="Times New Roman" w:cs="Times New Roman"/>
          <w:color w:val="auto"/>
          <w:szCs w:val="21"/>
          <w:lang w:val="en-US" w:eastAsia="zh-CN"/>
        </w:rPr>
        <w:t>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的总报价（其中，增值税税率为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w:t>
      </w:r>
      <w:permEnd w:id="70"/>
      <w:r>
        <w:rPr>
          <w:rFonts w:hint="eastAsia" w:ascii="Times New Roman" w:hAnsi="Times New Roman" w:cs="Times New Roman"/>
          <w:color w:val="auto"/>
          <w:szCs w:val="21"/>
          <w:lang w:val="en-US" w:eastAsia="zh-CN"/>
        </w:rPr>
        <w:t>，服务期限：</w:t>
      </w:r>
      <w:permStart w:id="71" w:edGrp="everyone"/>
      <w:r>
        <w:rPr>
          <w:rFonts w:hint="default" w:ascii="Times New Roman" w:hAnsi="Times New Roman" w:cs="Times New Roman"/>
          <w:color w:val="auto"/>
          <w:szCs w:val="21"/>
          <w:u w:val="single"/>
        </w:rPr>
        <w:t xml:space="preserve">               </w:t>
      </w:r>
      <w:permEnd w:id="71"/>
      <w:r>
        <w:rPr>
          <w:rFonts w:hint="eastAsia" w:ascii="Times New Roman" w:hAnsi="Times New Roman" w:cs="Times New Roman"/>
          <w:color w:val="auto"/>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1DFBB47C">
      <w:pPr>
        <w:spacing w:line="440" w:lineRule="exact"/>
        <w:rPr>
          <w:rFonts w:hint="default" w:ascii="Times New Roman" w:hAnsi="Times New Roman" w:cs="Times New Roman"/>
          <w:color w:val="auto"/>
          <w:szCs w:val="21"/>
        </w:rPr>
      </w:pPr>
    </w:p>
    <w:p w14:paraId="7E3A252A">
      <w:pPr>
        <w:spacing w:line="440" w:lineRule="exact"/>
        <w:ind w:firstLine="2310" w:firstLineChars="1100"/>
        <w:rPr>
          <w:rFonts w:hint="eastAsia" w:ascii="Times New Roman" w:hAnsi="Times New Roman" w:cs="Times New Roman"/>
          <w:color w:val="auto"/>
          <w:szCs w:val="21"/>
          <w:lang w:val="en-US" w:eastAsia="zh-CN"/>
        </w:rPr>
      </w:pPr>
    </w:p>
    <w:p w14:paraId="6A3E1B4E">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3B8DCFA">
      <w:pPr>
        <w:spacing w:line="440" w:lineRule="exact"/>
        <w:ind w:firstLine="2310" w:firstLineChars="1100"/>
        <w:jc w:val="right"/>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5178E35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DA16AE1">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180922A">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0D4958DB">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color w:val="auto"/>
        </w:rPr>
      </w:pPr>
      <w:bookmarkStart w:id="275" w:name="_Toc144974860"/>
      <w:bookmarkStart w:id="276" w:name="_Toc247527831"/>
      <w:bookmarkStart w:id="277" w:name="_Toc247514283"/>
      <w:bookmarkStart w:id="278" w:name="_Toc152042580"/>
      <w:bookmarkStart w:id="279" w:name="_Toc152045791"/>
      <w:bookmarkStart w:id="280" w:name="_Toc300835213"/>
    </w:p>
    <w:p w14:paraId="352DF75A">
      <w:pPr>
        <w:rPr>
          <w:rFonts w:hint="default"/>
          <w:color w:val="auto"/>
        </w:rPr>
      </w:pPr>
    </w:p>
    <w:p w14:paraId="37F9C44E">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rPr>
      </w:pPr>
    </w:p>
    <w:p w14:paraId="5FD4E7EF">
      <w:pPr>
        <w:spacing w:line="440" w:lineRule="exact"/>
        <w:rPr>
          <w:rFonts w:hint="default" w:ascii="Times New Roman" w:hAnsi="Times New Roman" w:cs="Times New Roman"/>
          <w:color w:val="auto"/>
          <w:szCs w:val="21"/>
        </w:rPr>
      </w:pPr>
    </w:p>
    <w:p w14:paraId="64B8A7AE">
      <w:pPr>
        <w:spacing w:line="440" w:lineRule="exac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7077D5B6">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0E8296B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w:t>
      </w:r>
    </w:p>
    <w:p w14:paraId="43E50DEF">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138EC63F">
      <w:pPr>
        <w:spacing w:line="440" w:lineRule="exact"/>
        <w:rPr>
          <w:rFonts w:hint="default" w:ascii="Times New Roman" w:hAnsi="Times New Roman" w:cs="Times New Roman"/>
          <w:color w:val="auto"/>
          <w:szCs w:val="21"/>
        </w:rPr>
      </w:pPr>
    </w:p>
    <w:p w14:paraId="6EDE9E2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2169C23B">
      <w:pPr>
        <w:spacing w:line="440" w:lineRule="exact"/>
        <w:rPr>
          <w:rFonts w:hint="default" w:ascii="Times New Roman" w:hAnsi="Times New Roman" w:cs="Times New Roman"/>
          <w:color w:val="auto"/>
          <w:szCs w:val="21"/>
        </w:rPr>
      </w:pPr>
    </w:p>
    <w:p w14:paraId="64F1B170">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注：本身份证明需由供应商加盖单位公章。</w:t>
      </w:r>
    </w:p>
    <w:p w14:paraId="1C793242">
      <w:pPr>
        <w:spacing w:line="440" w:lineRule="exact"/>
        <w:rPr>
          <w:rFonts w:hint="eastAsia" w:ascii="Times New Roman" w:hAnsi="Times New Roman" w:cs="Times New Roman"/>
          <w:color w:val="auto"/>
          <w:szCs w:val="21"/>
          <w:lang w:val="en-US" w:eastAsia="zh-CN"/>
        </w:rPr>
      </w:pPr>
    </w:p>
    <w:p w14:paraId="417BE5B1">
      <w:pPr>
        <w:spacing w:line="440" w:lineRule="exact"/>
        <w:rPr>
          <w:rFonts w:hint="default" w:ascii="Times New Roman" w:hAnsi="Times New Roman" w:cs="Times New Roman"/>
          <w:color w:val="auto"/>
          <w:szCs w:val="21"/>
          <w:lang w:val="en-US" w:eastAsia="zh-CN"/>
        </w:rPr>
      </w:pPr>
    </w:p>
    <w:p w14:paraId="60B92FF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21D68404">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3B3DB479">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3A974873">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bookmarkStart w:id="281" w:name="_Toc144974861"/>
      <w:bookmarkStart w:id="282" w:name="_Toc152045792"/>
      <w:bookmarkStart w:id="283" w:name="_Toc300835214"/>
      <w:bookmarkStart w:id="284" w:name="_Toc247527832"/>
      <w:bookmarkStart w:id="285" w:name="_Toc152042581"/>
      <w:bookmarkStart w:id="286" w:name="_Toc247514284"/>
      <w:r>
        <w:rPr>
          <w:rFonts w:hint="eastAsia" w:ascii="Times New Roman" w:hAnsi="Times New Roman" w:cs="Times New Roman"/>
          <w:color w:val="auto"/>
          <w:lang w:val="en-US" w:eastAsia="zh-CN"/>
        </w:rPr>
        <w:t>二</w:t>
      </w:r>
      <w:r>
        <w:rPr>
          <w:rFonts w:hint="default" w:ascii="Times New Roman" w:hAnsi="Times New Roman" w:cs="Times New Roman"/>
          <w:color w:val="auto"/>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（适用于有委托代理人的情况）</w:t>
      </w:r>
    </w:p>
    <w:p w14:paraId="423EEF89">
      <w:pPr>
        <w:spacing w:line="440" w:lineRule="exact"/>
        <w:rPr>
          <w:rFonts w:hint="default" w:ascii="Times New Roman" w:hAnsi="Times New Roman" w:eastAsia="黑体" w:cs="Times New Roman"/>
          <w:color w:val="auto"/>
          <w:szCs w:val="21"/>
        </w:rPr>
      </w:pPr>
    </w:p>
    <w:p w14:paraId="341FC22C">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确认、递交、撤回、修改询比项目响应文件、签订合同和处理有关事宜，</w:t>
      </w:r>
      <w:r>
        <w:rPr>
          <w:rFonts w:hint="default" w:ascii="Times New Roman" w:hAnsi="Times New Roman" w:cs="Times New Roman"/>
          <w:color w:val="auto"/>
          <w:szCs w:val="21"/>
        </w:rPr>
        <w:t>其法律后果由我方承担。</w:t>
      </w:r>
    </w:p>
    <w:p w14:paraId="3B21617B">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6859DE32">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38FC517B">
      <w:pPr>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lang w:val="en-US" w:eastAsia="zh-CN"/>
        </w:rPr>
      </w:pPr>
    </w:p>
    <w:p w14:paraId="548B6DD1">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rPr>
      </w:pPr>
    </w:p>
    <w:p w14:paraId="79835468">
      <w:pPr>
        <w:spacing w:line="440" w:lineRule="exact"/>
        <w:rPr>
          <w:rFonts w:hint="default" w:ascii="Times New Roman" w:hAnsi="Times New Roman" w:cs="Times New Roman"/>
          <w:color w:val="auto"/>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  应  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BB95198">
      <w:pPr>
        <w:spacing w:line="440" w:lineRule="exact"/>
        <w:rPr>
          <w:rFonts w:hint="default" w:ascii="Times New Roman" w:hAnsi="Times New Roman" w:cs="Times New Roman"/>
          <w:color w:val="auto"/>
          <w:szCs w:val="21"/>
        </w:rPr>
      </w:pPr>
    </w:p>
    <w:p w14:paraId="21BC7A4D">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4F604B62">
      <w:pPr>
        <w:spacing w:line="400" w:lineRule="exact"/>
        <w:rPr>
          <w:rFonts w:hint="default" w:ascii="Times New Roman" w:hAnsi="Times New Roman" w:eastAsia="黑体" w:cs="Times New Roman"/>
          <w:color w:val="auto"/>
          <w:sz w:val="20"/>
          <w:szCs w:val="20"/>
        </w:rPr>
      </w:pPr>
    </w:p>
    <w:p w14:paraId="040D755C">
      <w:pPr>
        <w:spacing w:line="400" w:lineRule="exact"/>
        <w:rPr>
          <w:rFonts w:hint="default" w:ascii="Times New Roman" w:hAnsi="Times New Roman" w:eastAsia="黑体" w:cs="Times New Roman"/>
          <w:color w:val="auto"/>
          <w:sz w:val="20"/>
          <w:szCs w:val="20"/>
        </w:rPr>
      </w:pPr>
    </w:p>
    <w:p w14:paraId="75D01C03">
      <w:pPr>
        <w:spacing w:line="400" w:lineRule="exact"/>
        <w:rPr>
          <w:rFonts w:hint="default" w:ascii="Times New Roman" w:hAnsi="Times New Roman" w:eastAsia="黑体" w:cs="Times New Roman"/>
          <w:color w:val="auto"/>
          <w:sz w:val="20"/>
          <w:szCs w:val="20"/>
        </w:rPr>
      </w:pPr>
    </w:p>
    <w:p w14:paraId="73B53E36">
      <w:pPr>
        <w:spacing w:line="400" w:lineRule="exact"/>
        <w:rPr>
          <w:rFonts w:hint="default" w:ascii="Times New Roman" w:hAnsi="Times New Roman" w:eastAsia="黑体" w:cs="Times New Roman"/>
          <w:color w:val="auto"/>
          <w:sz w:val="20"/>
          <w:szCs w:val="20"/>
        </w:rPr>
      </w:pPr>
    </w:p>
    <w:p w14:paraId="66E89E84">
      <w:pPr>
        <w:spacing w:line="400" w:lineRule="exact"/>
        <w:rPr>
          <w:rFonts w:hint="default" w:ascii="Times New Roman" w:hAnsi="Times New Roman" w:eastAsia="黑体" w:cs="Times New Roman"/>
          <w:color w:val="auto"/>
          <w:sz w:val="20"/>
          <w:szCs w:val="20"/>
        </w:rPr>
      </w:pPr>
    </w:p>
    <w:p w14:paraId="4D8CCFD6">
      <w:pPr>
        <w:spacing w:line="400" w:lineRule="exact"/>
        <w:rPr>
          <w:rFonts w:hint="default" w:ascii="Times New Roman" w:hAnsi="Times New Roman" w:eastAsia="黑体" w:cs="Times New Roman"/>
          <w:color w:val="auto"/>
          <w:sz w:val="20"/>
          <w:szCs w:val="20"/>
        </w:rPr>
      </w:pPr>
    </w:p>
    <w:p w14:paraId="39DCBFC7">
      <w:pPr>
        <w:spacing w:line="400" w:lineRule="exact"/>
        <w:rPr>
          <w:rFonts w:hint="default" w:ascii="Times New Roman" w:hAnsi="Times New Roman" w:eastAsia="黑体" w:cs="Times New Roman"/>
          <w:color w:val="auto"/>
          <w:sz w:val="20"/>
          <w:szCs w:val="20"/>
        </w:rPr>
      </w:pPr>
    </w:p>
    <w:p w14:paraId="2CEE55D5">
      <w:pPr>
        <w:topLinePunct/>
        <w:spacing w:line="440" w:lineRule="exact"/>
        <w:jc w:val="both"/>
        <w:rPr>
          <w:rFonts w:hint="eastAsia" w:ascii="Times New Roman" w:hAnsi="Times New Roman" w:cs="Times New Roman"/>
          <w:color w:val="auto"/>
          <w:szCs w:val="21"/>
          <w:lang w:val="en-US" w:eastAsia="zh-CN"/>
        </w:rPr>
      </w:pPr>
      <w:bookmarkStart w:id="287" w:name="_Toc247514286"/>
      <w:bookmarkStart w:id="288" w:name="_Toc152045794"/>
      <w:bookmarkStart w:id="289" w:name="_Toc152042583"/>
      <w:bookmarkStart w:id="290" w:name="_Toc300835216"/>
      <w:bookmarkStart w:id="291" w:name="_Toc144974862"/>
      <w:bookmarkStart w:id="292" w:name="_Toc247527834"/>
      <w:r>
        <w:rPr>
          <w:rFonts w:hint="eastAsia" w:ascii="Times New Roman" w:hAnsi="Times New Roman" w:cs="Times New Roman"/>
          <w:color w:val="auto"/>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三</w:t>
      </w:r>
      <w:r>
        <w:rPr>
          <w:rFonts w:hint="default" w:ascii="Times New Roman" w:hAnsi="Times New Roman" w:cs="Times New Roman"/>
          <w:color w:val="auto"/>
        </w:rPr>
        <w:t>、</w:t>
      </w:r>
      <w:r>
        <w:rPr>
          <w:rFonts w:hint="eastAsia" w:ascii="Times New Roman" w:hAnsi="Times New Roman" w:cs="Times New Roman"/>
          <w:color w:val="auto"/>
          <w:lang w:val="en-US" w:eastAsia="zh-CN"/>
        </w:rPr>
        <w:t>响应</w:t>
      </w:r>
      <w:r>
        <w:rPr>
          <w:rFonts w:hint="default" w:ascii="Times New Roman" w:hAnsi="Times New Roman" w:cs="Times New Roman"/>
          <w:color w:val="auto"/>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rPr>
      </w:pPr>
    </w:p>
    <w:bookmarkEnd w:id="293"/>
    <w:p w14:paraId="19A18FFC">
      <w:pPr>
        <w:rPr>
          <w:rFonts w:hint="default" w:ascii="Times New Roman" w:hAnsi="Times New Roman" w:cs="Times New Roman"/>
          <w:color w:val="auto"/>
        </w:rPr>
      </w:pPr>
      <w:bookmarkStart w:id="294" w:name="_Toc152042584"/>
      <w:bookmarkStart w:id="295" w:name="_Toc247514287"/>
      <w:bookmarkStart w:id="296" w:name="_Toc300835218"/>
      <w:bookmarkStart w:id="297" w:name="_Toc144974863"/>
      <w:bookmarkStart w:id="298" w:name="_Toc152045795"/>
      <w:bookmarkStart w:id="299" w:name="_Toc247527835"/>
      <w:r>
        <w:rPr>
          <w:rFonts w:hint="default" w:ascii="Times New Roman" w:hAnsi="Times New Roman" w:cs="Times New Roman"/>
          <w:color w:val="auto"/>
        </w:rPr>
        <w:br w:type="page"/>
      </w:r>
    </w:p>
    <w:p w14:paraId="3C347A40">
      <w:pPr>
        <w:spacing w:before="114" w:line="221" w:lineRule="auto"/>
        <w:ind w:left="2764"/>
        <w:rPr>
          <w:rFonts w:ascii="黑体" w:hAnsi="黑体" w:eastAsia="黑体" w:cs="黑体"/>
          <w:color w:val="auto"/>
          <w:sz w:val="35"/>
          <w:szCs w:val="35"/>
        </w:rPr>
      </w:pPr>
      <w:r>
        <w:rPr>
          <w:rFonts w:hint="eastAsia" w:ascii="黑体" w:hAnsi="黑体" w:eastAsia="黑体" w:cs="黑体"/>
          <w:b/>
          <w:bCs/>
          <w:color w:val="auto"/>
          <w:spacing w:val="-2"/>
          <w:sz w:val="35"/>
          <w:szCs w:val="35"/>
          <w:lang w:val="en-US" w:eastAsia="zh-CN"/>
        </w:rPr>
        <w:t>四</w:t>
      </w:r>
      <w:r>
        <w:rPr>
          <w:rFonts w:ascii="黑体" w:hAnsi="黑体" w:eastAsia="黑体" w:cs="黑体"/>
          <w:b/>
          <w:bCs/>
          <w:color w:val="auto"/>
          <w:spacing w:val="-2"/>
          <w:sz w:val="35"/>
          <w:szCs w:val="35"/>
        </w:rPr>
        <w:t>、商务和技术偏差表</w:t>
      </w:r>
    </w:p>
    <w:p w14:paraId="663ACC7C">
      <w:pPr>
        <w:spacing w:before="53"/>
        <w:rPr>
          <w:color w:val="auto"/>
        </w:rPr>
      </w:pPr>
    </w:p>
    <w:p w14:paraId="575FD0C8">
      <w:pPr>
        <w:spacing w:before="53"/>
        <w:rPr>
          <w:color w:val="auto"/>
        </w:rPr>
      </w:pPr>
    </w:p>
    <w:tbl>
      <w:tblPr>
        <w:tblStyle w:val="1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95"/>
        <w:gridCol w:w="2967"/>
        <w:gridCol w:w="2982"/>
        <w:gridCol w:w="1469"/>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538" w:type="pct"/>
            <w:vAlign w:val="top"/>
          </w:tcPr>
          <w:p w14:paraId="315F8E2C">
            <w:pPr>
              <w:pStyle w:val="17"/>
              <w:spacing w:before="174" w:line="221" w:lineRule="auto"/>
              <w:ind w:left="344"/>
              <w:rPr>
                <w:color w:val="auto"/>
                <w:sz w:val="21"/>
                <w:szCs w:val="21"/>
              </w:rPr>
            </w:pPr>
            <w:r>
              <w:rPr>
                <w:color w:val="auto"/>
                <w:spacing w:val="6"/>
                <w:sz w:val="21"/>
                <w:szCs w:val="21"/>
              </w:rPr>
              <w:t>序号</w:t>
            </w:r>
          </w:p>
        </w:tc>
        <w:tc>
          <w:tcPr>
            <w:tcW w:w="1784" w:type="pct"/>
            <w:vAlign w:val="top"/>
          </w:tcPr>
          <w:p w14:paraId="41B11741">
            <w:pPr>
              <w:pStyle w:val="17"/>
              <w:spacing w:before="172" w:line="219" w:lineRule="auto"/>
              <w:ind w:left="511"/>
              <w:rPr>
                <w:color w:val="auto"/>
                <w:sz w:val="21"/>
                <w:szCs w:val="21"/>
              </w:rPr>
            </w:pPr>
            <w:r>
              <w:rPr>
                <w:color w:val="auto"/>
                <w:spacing w:val="1"/>
                <w:sz w:val="21"/>
                <w:szCs w:val="21"/>
              </w:rPr>
              <w:t>采购文件章节及条款号</w:t>
            </w:r>
          </w:p>
        </w:tc>
        <w:tc>
          <w:tcPr>
            <w:tcW w:w="1793" w:type="pct"/>
            <w:vAlign w:val="top"/>
          </w:tcPr>
          <w:p w14:paraId="30CF94E4">
            <w:pPr>
              <w:pStyle w:val="17"/>
              <w:spacing w:before="172" w:line="219" w:lineRule="auto"/>
              <w:ind w:left="524"/>
              <w:rPr>
                <w:color w:val="auto"/>
                <w:sz w:val="21"/>
                <w:szCs w:val="21"/>
              </w:rPr>
            </w:pPr>
            <w:r>
              <w:rPr>
                <w:color w:val="auto"/>
                <w:spacing w:val="1"/>
                <w:sz w:val="21"/>
                <w:szCs w:val="21"/>
              </w:rPr>
              <w:t>响应文件章节及条款号</w:t>
            </w:r>
          </w:p>
        </w:tc>
        <w:tc>
          <w:tcPr>
            <w:tcW w:w="883" w:type="pct"/>
            <w:vAlign w:val="top"/>
          </w:tcPr>
          <w:p w14:paraId="4DA0E2C0">
            <w:pPr>
              <w:pStyle w:val="17"/>
              <w:spacing w:before="173" w:line="219" w:lineRule="auto"/>
              <w:ind w:left="417"/>
              <w:rPr>
                <w:color w:val="auto"/>
                <w:sz w:val="21"/>
                <w:szCs w:val="21"/>
              </w:rPr>
            </w:pPr>
            <w:r>
              <w:rPr>
                <w:color w:val="auto"/>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71C86BA5">
            <w:pPr>
              <w:pStyle w:val="17"/>
              <w:spacing w:before="233" w:line="184" w:lineRule="auto"/>
              <w:ind w:left="495"/>
              <w:rPr>
                <w:color w:val="auto"/>
                <w:sz w:val="21"/>
                <w:szCs w:val="21"/>
              </w:rPr>
            </w:pPr>
            <w:r>
              <w:rPr>
                <w:color w:val="auto"/>
                <w:sz w:val="21"/>
                <w:szCs w:val="21"/>
              </w:rPr>
              <w:t>1</w:t>
            </w:r>
          </w:p>
        </w:tc>
        <w:tc>
          <w:tcPr>
            <w:tcW w:w="1784" w:type="pct"/>
            <w:vAlign w:val="top"/>
          </w:tcPr>
          <w:p w14:paraId="24CB8EE5">
            <w:pPr>
              <w:rPr>
                <w:rFonts w:ascii="Arial"/>
                <w:color w:val="auto"/>
                <w:sz w:val="21"/>
              </w:rPr>
            </w:pPr>
          </w:p>
        </w:tc>
        <w:tc>
          <w:tcPr>
            <w:tcW w:w="1793" w:type="pct"/>
            <w:vAlign w:val="top"/>
          </w:tcPr>
          <w:p w14:paraId="60F944A9">
            <w:pPr>
              <w:rPr>
                <w:rFonts w:ascii="Arial"/>
                <w:color w:val="auto"/>
                <w:sz w:val="21"/>
              </w:rPr>
            </w:pPr>
          </w:p>
        </w:tc>
        <w:tc>
          <w:tcPr>
            <w:tcW w:w="883" w:type="pct"/>
            <w:vAlign w:val="top"/>
          </w:tcPr>
          <w:p w14:paraId="664E1077">
            <w:pPr>
              <w:rPr>
                <w:rFonts w:ascii="Arial"/>
                <w:color w:val="auto"/>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1DABE844">
            <w:pPr>
              <w:pStyle w:val="17"/>
              <w:spacing w:before="235" w:line="183" w:lineRule="auto"/>
              <w:ind w:left="495"/>
              <w:rPr>
                <w:color w:val="auto"/>
                <w:sz w:val="21"/>
                <w:szCs w:val="21"/>
              </w:rPr>
            </w:pPr>
            <w:r>
              <w:rPr>
                <w:color w:val="auto"/>
                <w:sz w:val="21"/>
                <w:szCs w:val="21"/>
              </w:rPr>
              <w:t>2</w:t>
            </w:r>
          </w:p>
        </w:tc>
        <w:tc>
          <w:tcPr>
            <w:tcW w:w="1784" w:type="pct"/>
            <w:vAlign w:val="top"/>
          </w:tcPr>
          <w:p w14:paraId="75E71A7B">
            <w:pPr>
              <w:rPr>
                <w:rFonts w:ascii="Arial"/>
                <w:color w:val="auto"/>
                <w:sz w:val="21"/>
              </w:rPr>
            </w:pPr>
          </w:p>
        </w:tc>
        <w:tc>
          <w:tcPr>
            <w:tcW w:w="1793" w:type="pct"/>
            <w:vAlign w:val="top"/>
          </w:tcPr>
          <w:p w14:paraId="42E9B417">
            <w:pPr>
              <w:rPr>
                <w:rFonts w:ascii="Arial"/>
                <w:color w:val="auto"/>
                <w:sz w:val="21"/>
              </w:rPr>
            </w:pPr>
          </w:p>
        </w:tc>
        <w:tc>
          <w:tcPr>
            <w:tcW w:w="883" w:type="pct"/>
            <w:vAlign w:val="top"/>
          </w:tcPr>
          <w:p w14:paraId="225DE381">
            <w:pPr>
              <w:rPr>
                <w:rFonts w:ascii="Arial"/>
                <w:color w:val="auto"/>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0A41FA64">
            <w:pPr>
              <w:pStyle w:val="17"/>
              <w:spacing w:before="236" w:line="183" w:lineRule="auto"/>
              <w:ind w:left="495"/>
              <w:rPr>
                <w:color w:val="auto"/>
                <w:sz w:val="21"/>
                <w:szCs w:val="21"/>
              </w:rPr>
            </w:pPr>
            <w:r>
              <w:rPr>
                <w:color w:val="auto"/>
                <w:sz w:val="21"/>
                <w:szCs w:val="21"/>
              </w:rPr>
              <w:t>3</w:t>
            </w:r>
          </w:p>
        </w:tc>
        <w:tc>
          <w:tcPr>
            <w:tcW w:w="1784" w:type="pct"/>
            <w:vAlign w:val="top"/>
          </w:tcPr>
          <w:p w14:paraId="35927806">
            <w:pPr>
              <w:rPr>
                <w:rFonts w:ascii="Arial"/>
                <w:color w:val="auto"/>
                <w:sz w:val="21"/>
              </w:rPr>
            </w:pPr>
          </w:p>
        </w:tc>
        <w:tc>
          <w:tcPr>
            <w:tcW w:w="1793" w:type="pct"/>
            <w:vAlign w:val="top"/>
          </w:tcPr>
          <w:p w14:paraId="51A99220">
            <w:pPr>
              <w:rPr>
                <w:rFonts w:ascii="Arial"/>
                <w:color w:val="auto"/>
                <w:sz w:val="21"/>
              </w:rPr>
            </w:pPr>
          </w:p>
        </w:tc>
        <w:tc>
          <w:tcPr>
            <w:tcW w:w="883" w:type="pct"/>
            <w:vAlign w:val="top"/>
          </w:tcPr>
          <w:p w14:paraId="52F72B7E">
            <w:pPr>
              <w:rPr>
                <w:rFonts w:ascii="Arial"/>
                <w:color w:val="auto"/>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538" w:type="pct"/>
            <w:vAlign w:val="top"/>
          </w:tcPr>
          <w:p w14:paraId="71515F75">
            <w:pPr>
              <w:pStyle w:val="17"/>
              <w:spacing w:before="227" w:line="183" w:lineRule="auto"/>
              <w:ind w:left="495"/>
              <w:rPr>
                <w:color w:val="auto"/>
                <w:sz w:val="21"/>
                <w:szCs w:val="21"/>
              </w:rPr>
            </w:pPr>
            <w:r>
              <w:rPr>
                <w:color w:val="auto"/>
                <w:sz w:val="21"/>
                <w:szCs w:val="21"/>
              </w:rPr>
              <w:t>4</w:t>
            </w:r>
          </w:p>
        </w:tc>
        <w:tc>
          <w:tcPr>
            <w:tcW w:w="1784" w:type="pct"/>
            <w:vAlign w:val="top"/>
          </w:tcPr>
          <w:p w14:paraId="0C7A0260">
            <w:pPr>
              <w:rPr>
                <w:rFonts w:ascii="Arial"/>
                <w:color w:val="auto"/>
                <w:sz w:val="21"/>
              </w:rPr>
            </w:pPr>
          </w:p>
        </w:tc>
        <w:tc>
          <w:tcPr>
            <w:tcW w:w="1793" w:type="pct"/>
            <w:vAlign w:val="top"/>
          </w:tcPr>
          <w:p w14:paraId="554CEA30">
            <w:pPr>
              <w:rPr>
                <w:rFonts w:ascii="Arial"/>
                <w:color w:val="auto"/>
                <w:sz w:val="21"/>
              </w:rPr>
            </w:pPr>
          </w:p>
        </w:tc>
        <w:tc>
          <w:tcPr>
            <w:tcW w:w="883" w:type="pct"/>
            <w:vAlign w:val="top"/>
          </w:tcPr>
          <w:p w14:paraId="60065D2F">
            <w:pPr>
              <w:rPr>
                <w:rFonts w:ascii="Arial"/>
                <w:color w:val="auto"/>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38" w:type="pct"/>
            <w:vAlign w:val="top"/>
          </w:tcPr>
          <w:p w14:paraId="02171320">
            <w:pPr>
              <w:pStyle w:val="17"/>
              <w:spacing w:before="241" w:line="182" w:lineRule="auto"/>
              <w:ind w:left="495"/>
              <w:rPr>
                <w:color w:val="auto"/>
                <w:sz w:val="21"/>
                <w:szCs w:val="21"/>
              </w:rPr>
            </w:pPr>
            <w:r>
              <w:rPr>
                <w:color w:val="auto"/>
                <w:sz w:val="21"/>
                <w:szCs w:val="21"/>
              </w:rPr>
              <w:t>5</w:t>
            </w:r>
          </w:p>
        </w:tc>
        <w:tc>
          <w:tcPr>
            <w:tcW w:w="1784" w:type="pct"/>
            <w:vAlign w:val="top"/>
          </w:tcPr>
          <w:p w14:paraId="640EA92A">
            <w:pPr>
              <w:rPr>
                <w:rFonts w:ascii="Arial"/>
                <w:color w:val="auto"/>
                <w:sz w:val="21"/>
              </w:rPr>
            </w:pPr>
          </w:p>
        </w:tc>
        <w:tc>
          <w:tcPr>
            <w:tcW w:w="1793" w:type="pct"/>
            <w:vAlign w:val="top"/>
          </w:tcPr>
          <w:p w14:paraId="56030B64">
            <w:pPr>
              <w:rPr>
                <w:rFonts w:ascii="Arial"/>
                <w:color w:val="auto"/>
                <w:sz w:val="21"/>
              </w:rPr>
            </w:pPr>
          </w:p>
        </w:tc>
        <w:tc>
          <w:tcPr>
            <w:tcW w:w="883" w:type="pct"/>
            <w:vAlign w:val="top"/>
          </w:tcPr>
          <w:p w14:paraId="719EE152">
            <w:pPr>
              <w:rPr>
                <w:rFonts w:ascii="Arial"/>
                <w:color w:val="auto"/>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38" w:type="pct"/>
            <w:vAlign w:val="top"/>
          </w:tcPr>
          <w:p w14:paraId="431C7450">
            <w:pPr>
              <w:pStyle w:val="17"/>
              <w:spacing w:before="198" w:line="331" w:lineRule="exact"/>
              <w:ind w:left="344"/>
              <w:rPr>
                <w:color w:val="auto"/>
                <w:sz w:val="21"/>
                <w:szCs w:val="21"/>
              </w:rPr>
            </w:pPr>
            <w:r>
              <w:rPr>
                <w:color w:val="auto"/>
                <w:spacing w:val="-6"/>
                <w:position w:val="2"/>
                <w:sz w:val="21"/>
                <w:szCs w:val="21"/>
              </w:rPr>
              <w:t>……</w:t>
            </w:r>
          </w:p>
        </w:tc>
        <w:tc>
          <w:tcPr>
            <w:tcW w:w="1784" w:type="pct"/>
            <w:vAlign w:val="top"/>
          </w:tcPr>
          <w:p w14:paraId="4B138A17">
            <w:pPr>
              <w:rPr>
                <w:rFonts w:ascii="Arial"/>
                <w:color w:val="auto"/>
                <w:sz w:val="21"/>
              </w:rPr>
            </w:pPr>
          </w:p>
        </w:tc>
        <w:tc>
          <w:tcPr>
            <w:tcW w:w="1793" w:type="pct"/>
            <w:vAlign w:val="top"/>
          </w:tcPr>
          <w:p w14:paraId="1CFA5673">
            <w:pPr>
              <w:rPr>
                <w:rFonts w:ascii="Arial"/>
                <w:color w:val="auto"/>
                <w:sz w:val="21"/>
              </w:rPr>
            </w:pPr>
          </w:p>
        </w:tc>
        <w:tc>
          <w:tcPr>
            <w:tcW w:w="883" w:type="pct"/>
            <w:vAlign w:val="top"/>
          </w:tcPr>
          <w:p w14:paraId="4ED4B466">
            <w:pPr>
              <w:rPr>
                <w:rFonts w:ascii="Arial"/>
                <w:color w:val="auto"/>
                <w:sz w:val="21"/>
              </w:rPr>
            </w:pPr>
          </w:p>
        </w:tc>
      </w:tr>
    </w:tbl>
    <w:p w14:paraId="1F38A81A">
      <w:pPr>
        <w:pStyle w:val="7"/>
        <w:spacing w:line="252" w:lineRule="auto"/>
        <w:rPr>
          <w:color w:val="auto"/>
        </w:rPr>
      </w:pPr>
    </w:p>
    <w:p w14:paraId="109CB59D">
      <w:pPr>
        <w:spacing w:before="81" w:line="332" w:lineRule="auto"/>
        <w:ind w:right="11" w:firstLine="500"/>
        <w:rPr>
          <w:rFonts w:ascii="宋体" w:hAnsi="宋体" w:eastAsia="宋体" w:cs="宋体"/>
          <w:color w:val="auto"/>
          <w:spacing w:val="1"/>
          <w:sz w:val="25"/>
          <w:szCs w:val="25"/>
        </w:rPr>
      </w:pPr>
      <w:r>
        <w:rPr>
          <w:rFonts w:ascii="宋体" w:hAnsi="宋体" w:eastAsia="宋体" w:cs="宋体"/>
          <w:color w:val="auto"/>
          <w:spacing w:val="2"/>
          <w:sz w:val="25"/>
          <w:szCs w:val="25"/>
        </w:rPr>
        <w:t>供应商保证：除商务和技术偏差表列出的偏差外，供应商响应采</w:t>
      </w:r>
      <w:r>
        <w:rPr>
          <w:rFonts w:ascii="宋体" w:hAnsi="宋体" w:eastAsia="宋体" w:cs="宋体"/>
          <w:color w:val="auto"/>
          <w:spacing w:val="1"/>
          <w:sz w:val="25"/>
          <w:szCs w:val="25"/>
        </w:rPr>
        <w:t>购文件的全部要求。</w:t>
      </w:r>
    </w:p>
    <w:p w14:paraId="5615AE51">
      <w:pPr>
        <w:rPr>
          <w:rFonts w:hint="eastAsia" w:ascii="Times New Roman" w:hAnsi="Times New Roman" w:cs="Times New Roman"/>
          <w:color w:val="auto"/>
          <w:lang w:val="en-US" w:eastAsia="zh-CN"/>
        </w:rPr>
      </w:pPr>
    </w:p>
    <w:p w14:paraId="08C28BE3">
      <w:pPr>
        <w:rPr>
          <w:rFonts w:hint="eastAsia" w:ascii="Times New Roman" w:hAnsi="Times New Roman" w:cs="Times New Roman"/>
          <w:color w:val="auto"/>
          <w:lang w:val="en-US" w:eastAsia="zh-CN"/>
        </w:rPr>
      </w:pPr>
    </w:p>
    <w:p w14:paraId="60392D73">
      <w:pPr>
        <w:rPr>
          <w:rFonts w:hint="eastAsia" w:ascii="Times New Roman" w:hAnsi="Times New Roman" w:cs="Times New Roman"/>
          <w:color w:val="auto"/>
          <w:lang w:val="en-US" w:eastAsia="zh-CN"/>
        </w:rPr>
      </w:pPr>
    </w:p>
    <w:p w14:paraId="314A1D4D">
      <w:pPr>
        <w:rPr>
          <w:rFonts w:hint="eastAsia" w:ascii="Times New Roman" w:hAnsi="Times New Roman" w:cs="Times New Roman"/>
          <w:color w:val="auto"/>
          <w:lang w:val="en-US" w:eastAsia="zh-CN"/>
        </w:rPr>
      </w:pPr>
    </w:p>
    <w:p w14:paraId="24081F9B">
      <w:pPr>
        <w:rPr>
          <w:rFonts w:hint="eastAsia" w:ascii="Times New Roman" w:hAnsi="Times New Roman" w:cs="Times New Roman"/>
          <w:color w:val="auto"/>
          <w:lang w:val="en-US" w:eastAsia="zh-CN"/>
        </w:rPr>
      </w:pPr>
    </w:p>
    <w:p w14:paraId="6FE57AF4">
      <w:pPr>
        <w:rPr>
          <w:rFonts w:hint="eastAsia" w:ascii="Times New Roman" w:hAnsi="Times New Roman" w:cs="Times New Roman"/>
          <w:color w:val="auto"/>
          <w:lang w:val="en-US" w:eastAsia="zh-CN"/>
        </w:rPr>
      </w:pPr>
    </w:p>
    <w:p w14:paraId="7028B682">
      <w:pPr>
        <w:rPr>
          <w:rFonts w:hint="eastAsia" w:ascii="Times New Roman" w:hAnsi="Times New Roman" w:cs="Times New Roman"/>
          <w:color w:val="auto"/>
          <w:lang w:val="en-US" w:eastAsia="zh-CN"/>
        </w:rPr>
      </w:pPr>
    </w:p>
    <w:p w14:paraId="2E096643">
      <w:pPr>
        <w:rPr>
          <w:rFonts w:hint="eastAsia" w:ascii="Times New Roman" w:hAnsi="Times New Roman" w:cs="Times New Roman"/>
          <w:color w:val="auto"/>
          <w:lang w:val="en-US" w:eastAsia="zh-CN"/>
        </w:rPr>
      </w:pPr>
    </w:p>
    <w:p w14:paraId="7F1D3057">
      <w:pPr>
        <w:rPr>
          <w:rFonts w:hint="eastAsia" w:ascii="Times New Roman" w:hAnsi="Times New Roman" w:cs="Times New Roman"/>
          <w:color w:val="auto"/>
          <w:lang w:val="en-US" w:eastAsia="zh-CN"/>
        </w:rPr>
      </w:pPr>
    </w:p>
    <w:p w14:paraId="7B5E2073">
      <w:pPr>
        <w:rPr>
          <w:rFonts w:hint="eastAsia" w:ascii="Times New Roman" w:hAnsi="Times New Roman" w:cs="Times New Roman"/>
          <w:color w:val="auto"/>
          <w:lang w:val="en-US" w:eastAsia="zh-CN"/>
        </w:rPr>
      </w:pPr>
    </w:p>
    <w:p w14:paraId="3E890D62">
      <w:pPr>
        <w:rPr>
          <w:rFonts w:hint="eastAsia" w:ascii="Times New Roman" w:hAnsi="Times New Roman" w:cs="Times New Roman"/>
          <w:color w:val="auto"/>
          <w:lang w:val="en-US" w:eastAsia="zh-CN"/>
        </w:rPr>
      </w:pPr>
    </w:p>
    <w:p w14:paraId="670C7D5B">
      <w:pPr>
        <w:rPr>
          <w:rFonts w:hint="eastAsia" w:ascii="Times New Roman" w:hAnsi="Times New Roman" w:cs="Times New Roman"/>
          <w:color w:val="auto"/>
          <w:lang w:val="en-US" w:eastAsia="zh-CN"/>
        </w:rPr>
      </w:pPr>
    </w:p>
    <w:p w14:paraId="54DBF9CB">
      <w:pPr>
        <w:rPr>
          <w:rFonts w:hint="eastAsia" w:ascii="Times New Roman" w:hAnsi="Times New Roman" w:cs="Times New Roman"/>
          <w:color w:val="auto"/>
          <w:lang w:val="en-US" w:eastAsia="zh-CN"/>
        </w:rPr>
      </w:pPr>
    </w:p>
    <w:p w14:paraId="21129472">
      <w:pPr>
        <w:rPr>
          <w:rFonts w:hint="eastAsia" w:ascii="Times New Roman" w:hAnsi="Times New Roman" w:cs="Times New Roman"/>
          <w:color w:val="auto"/>
          <w:lang w:val="en-US" w:eastAsia="zh-CN"/>
        </w:rPr>
      </w:pPr>
    </w:p>
    <w:p w14:paraId="7A1D1581">
      <w:pPr>
        <w:rPr>
          <w:rFonts w:hint="eastAsia" w:ascii="Times New Roman" w:hAnsi="Times New Roman" w:cs="Times New Roman"/>
          <w:color w:val="auto"/>
          <w:lang w:val="en-US" w:eastAsia="zh-CN"/>
        </w:rPr>
      </w:pPr>
    </w:p>
    <w:p w14:paraId="5FEAA770">
      <w:pPr>
        <w:rPr>
          <w:rFonts w:hint="eastAsia" w:ascii="Times New Roman" w:hAnsi="Times New Roman" w:cs="Times New Roman"/>
          <w:color w:val="auto"/>
          <w:lang w:val="en-US" w:eastAsia="zh-CN"/>
        </w:rPr>
      </w:pPr>
    </w:p>
    <w:p w14:paraId="5FA5A62F">
      <w:pPr>
        <w:rPr>
          <w:rFonts w:hint="eastAsia" w:ascii="Times New Roman" w:hAnsi="Times New Roman" w:cs="Times New Roman"/>
          <w:color w:val="auto"/>
          <w:lang w:val="en-US" w:eastAsia="zh-CN"/>
        </w:rPr>
      </w:pPr>
    </w:p>
    <w:p w14:paraId="6683BE55">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五、承诺书（格式附后）</w:t>
      </w:r>
    </w:p>
    <w:p w14:paraId="62EF65AC">
      <w:pPr>
        <w:spacing w:line="560" w:lineRule="exact"/>
        <w:jc w:val="center"/>
        <w:rPr>
          <w:rFonts w:hint="eastAsia" w:ascii="仿宋" w:hAnsi="仿宋" w:eastAsia="仿宋"/>
          <w:b/>
          <w:color w:val="auto"/>
          <w:sz w:val="28"/>
          <w:szCs w:val="28"/>
        </w:rPr>
      </w:pPr>
      <w:r>
        <w:rPr>
          <w:rFonts w:hint="eastAsia" w:ascii="仿宋" w:hAnsi="仿宋" w:eastAsia="仿宋"/>
          <w:b/>
          <w:color w:val="auto"/>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我单位自愿参加该项目的</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一、遵守</w:t>
      </w:r>
      <w:r>
        <w:rPr>
          <w:rFonts w:hint="eastAsia" w:ascii="仿宋" w:hAnsi="仿宋" w:eastAsia="仿宋"/>
          <w:color w:val="auto"/>
          <w:sz w:val="28"/>
          <w:szCs w:val="28"/>
          <w:lang w:eastAsia="zh-CN"/>
        </w:rPr>
        <w:t>法律法规</w:t>
      </w:r>
      <w:r>
        <w:rPr>
          <w:rFonts w:hint="eastAsia" w:ascii="仿宋" w:hAnsi="仿宋" w:eastAsia="仿宋"/>
          <w:color w:val="auto"/>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二、确保提供的材料真实、合法、有效，对他人的知识产权不构成侵权。如因材料弄虚作假，或导致知识产权侵权行为，或给</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三、如果我单位被确定为</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人，将保证服务质量符合</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四、本项目授权委托人和拟派项目负责人均为我单位正式工作人员。我单位和拟派项目负责人目前没有被限制</w:t>
      </w:r>
      <w:r>
        <w:rPr>
          <w:rFonts w:hint="eastAsia" w:ascii="仿宋" w:hAnsi="仿宋" w:eastAsia="仿宋"/>
          <w:color w:val="auto"/>
          <w:sz w:val="28"/>
          <w:szCs w:val="28"/>
          <w:lang w:val="en-US" w:eastAsia="zh-CN"/>
        </w:rPr>
        <w:t>参加采购活动</w:t>
      </w:r>
      <w:r>
        <w:rPr>
          <w:rFonts w:hint="eastAsia" w:ascii="仿宋" w:hAnsi="仿宋" w:eastAsia="仿宋"/>
          <w:color w:val="auto"/>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五、我公司郑重承诺，在参加本次</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如违反上述承诺，愿意接受取消我单位</w:t>
      </w:r>
      <w:r>
        <w:rPr>
          <w:rFonts w:hint="eastAsia" w:ascii="仿宋" w:hAnsi="仿宋" w:eastAsia="仿宋"/>
          <w:color w:val="auto"/>
          <w:sz w:val="28"/>
          <w:szCs w:val="28"/>
          <w:lang w:eastAsia="zh-CN"/>
        </w:rPr>
        <w:t>响应</w:t>
      </w:r>
      <w:r>
        <w:rPr>
          <w:rFonts w:hint="eastAsia" w:ascii="仿宋" w:hAnsi="仿宋" w:eastAsia="仿宋"/>
          <w:color w:val="auto"/>
          <w:sz w:val="28"/>
          <w:szCs w:val="28"/>
        </w:rPr>
        <w:t>（报价）、</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或正在实施项目的资格，自愿放弃索要</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保证金的权利，接受不予退还</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或履约保证金）</w:t>
      </w:r>
      <w:r>
        <w:rPr>
          <w:rFonts w:hint="eastAsia" w:ascii="仿宋" w:hAnsi="仿宋" w:eastAsia="仿宋"/>
          <w:color w:val="auto"/>
          <w:sz w:val="28"/>
          <w:szCs w:val="28"/>
        </w:rPr>
        <w:t>以及拒绝我单位在一定时期内进入</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人和亳州</w:t>
      </w:r>
      <w:r>
        <w:rPr>
          <w:rFonts w:hint="eastAsia" w:ascii="仿宋" w:hAnsi="仿宋" w:eastAsia="仿宋"/>
          <w:color w:val="auto"/>
          <w:sz w:val="28"/>
          <w:szCs w:val="28"/>
          <w:lang w:val="en-US" w:eastAsia="zh-CN"/>
        </w:rPr>
        <w:t>交通投资控股集团有限公司及下属企业</w:t>
      </w:r>
      <w:r>
        <w:rPr>
          <w:rFonts w:hint="eastAsia" w:ascii="仿宋" w:hAnsi="仿宋" w:eastAsia="仿宋"/>
          <w:color w:val="auto"/>
          <w:sz w:val="28"/>
          <w:szCs w:val="28"/>
        </w:rPr>
        <w:t>进行</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供应商</w:t>
      </w:r>
      <w:r>
        <w:rPr>
          <w:rFonts w:hint="eastAsia" w:ascii="仿宋" w:hAnsi="仿宋" w:eastAsia="仿宋"/>
          <w:color w:val="auto"/>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rPr>
        <w:t>日期：     年   月   日</w:t>
      </w:r>
    </w:p>
    <w:p w14:paraId="6BBD8379">
      <w:pPr>
        <w:pStyle w:val="3"/>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六</w:t>
      </w:r>
      <w:r>
        <w:rPr>
          <w:rFonts w:hint="default" w:ascii="Times New Roman" w:hAnsi="Times New Roman" w:cs="Times New Roman"/>
          <w:color w:val="auto"/>
        </w:rPr>
        <w:t>、</w:t>
      </w:r>
      <w:bookmarkEnd w:id="294"/>
      <w:bookmarkEnd w:id="295"/>
      <w:bookmarkEnd w:id="296"/>
      <w:bookmarkEnd w:id="297"/>
      <w:bookmarkEnd w:id="298"/>
      <w:bookmarkEnd w:id="299"/>
      <w:r>
        <w:rPr>
          <w:rFonts w:hint="eastAsia" w:ascii="Times New Roman" w:hAnsi="Times New Roman" w:cs="Times New Roman"/>
          <w:color w:val="auto"/>
          <w:lang w:val="en-US" w:eastAsia="zh-CN"/>
        </w:rPr>
        <w:t>报价表</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62"/>
        <w:gridCol w:w="1258"/>
        <w:gridCol w:w="1241"/>
        <w:gridCol w:w="1258"/>
      </w:tblGrid>
      <w:tr w14:paraId="1276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2795" w:type="pct"/>
            <w:vAlign w:val="center"/>
          </w:tcPr>
          <w:p w14:paraId="10D12D2D">
            <w:pPr>
              <w:jc w:val="center"/>
              <w:rPr>
                <w:rFonts w:hint="default" w:ascii="Times New Roman" w:hAnsi="Times New Roman" w:cs="Times New Roman" w:eastAsiaTheme="minorEastAsia"/>
                <w:color w:val="auto"/>
                <w:vertAlign w:val="baseline"/>
                <w:lang w:val="en-US" w:eastAsia="zh-CN"/>
              </w:rPr>
            </w:pPr>
            <w:bookmarkStart w:id="300" w:name="_Toc247527836"/>
            <w:bookmarkStart w:id="301" w:name="_Toc300835221"/>
            <w:bookmarkStart w:id="302" w:name="_Toc247514288"/>
            <w:bookmarkStart w:id="303" w:name="_Toc144974864"/>
            <w:bookmarkStart w:id="304" w:name="_Toc152042585"/>
            <w:bookmarkStart w:id="305" w:name="_Toc152045796"/>
            <w:r>
              <w:rPr>
                <w:rFonts w:hint="eastAsia" w:ascii="Times New Roman" w:hAnsi="Times New Roman" w:cs="Times New Roman"/>
                <w:color w:val="auto"/>
                <w:vertAlign w:val="baseline"/>
                <w:lang w:val="en-US" w:eastAsia="zh-CN"/>
              </w:rPr>
              <w:t>检测项目</w:t>
            </w:r>
          </w:p>
        </w:tc>
        <w:tc>
          <w:tcPr>
            <w:tcW w:w="738" w:type="pct"/>
            <w:shd w:val="clear" w:color="auto" w:fill="auto"/>
            <w:vAlign w:val="center"/>
          </w:tcPr>
          <w:p w14:paraId="15515EC5">
            <w:pPr>
              <w:jc w:val="center"/>
              <w:rPr>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不含税价（元）</w:t>
            </w:r>
          </w:p>
        </w:tc>
        <w:tc>
          <w:tcPr>
            <w:tcW w:w="727" w:type="pct"/>
            <w:shd w:val="clear" w:color="auto" w:fill="auto"/>
            <w:vAlign w:val="center"/>
          </w:tcPr>
          <w:p w14:paraId="778F9606">
            <w:pPr>
              <w:jc w:val="center"/>
              <w:rPr>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税率（%）</w:t>
            </w:r>
          </w:p>
        </w:tc>
        <w:tc>
          <w:tcPr>
            <w:tcW w:w="738" w:type="pct"/>
            <w:shd w:val="clear" w:color="auto" w:fill="auto"/>
            <w:vAlign w:val="center"/>
          </w:tcPr>
          <w:p w14:paraId="3861F304">
            <w:pPr>
              <w:jc w:val="center"/>
              <w:rPr>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含税价（元）</w:t>
            </w:r>
          </w:p>
        </w:tc>
      </w:tr>
      <w:tr w14:paraId="6AC8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22723918">
            <w:pPr>
              <w:jc w:val="both"/>
              <w:rPr>
                <w:rFonts w:hint="eastAsia" w:ascii="Times New Roman" w:hAnsi="Times New Roman" w:cs="Times New Roman"/>
                <w:color w:val="auto"/>
                <w:vertAlign w:val="baseline"/>
                <w:lang w:val="en-US" w:eastAsia="zh-CN"/>
              </w:rPr>
            </w:pPr>
          </w:p>
          <w:p w14:paraId="3A8C8481">
            <w:pPr>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2026年：高速全线道路检测评定、SCI（路基技术状况检测评定）、TCI（沿线设施技术状况检测评定）</w:t>
            </w:r>
          </w:p>
          <w:p w14:paraId="1A9B2ADE">
            <w:pPr>
              <w:jc w:val="center"/>
              <w:rPr>
                <w:rFonts w:hint="default" w:ascii="Times New Roman" w:hAnsi="Times New Roman" w:cs="Times New Roman"/>
                <w:color w:val="auto"/>
                <w:vertAlign w:val="baseline"/>
              </w:rPr>
            </w:pPr>
          </w:p>
        </w:tc>
        <w:tc>
          <w:tcPr>
            <w:tcW w:w="738" w:type="pct"/>
            <w:vAlign w:val="center"/>
          </w:tcPr>
          <w:p w14:paraId="035ED7AA">
            <w:pPr>
              <w:jc w:val="center"/>
              <w:rPr>
                <w:rFonts w:hint="default" w:ascii="Times New Roman" w:hAnsi="Times New Roman" w:cs="Times New Roman"/>
                <w:color w:val="auto"/>
                <w:vertAlign w:val="baseline"/>
              </w:rPr>
            </w:pPr>
          </w:p>
        </w:tc>
        <w:tc>
          <w:tcPr>
            <w:tcW w:w="727" w:type="pct"/>
            <w:vAlign w:val="center"/>
          </w:tcPr>
          <w:p w14:paraId="298AE884">
            <w:pPr>
              <w:jc w:val="center"/>
              <w:rPr>
                <w:rFonts w:hint="default" w:ascii="Times New Roman" w:hAnsi="Times New Roman" w:cs="Times New Roman"/>
                <w:color w:val="auto"/>
                <w:vertAlign w:val="baseline"/>
              </w:rPr>
            </w:pPr>
          </w:p>
        </w:tc>
        <w:tc>
          <w:tcPr>
            <w:tcW w:w="738" w:type="pct"/>
            <w:vAlign w:val="center"/>
          </w:tcPr>
          <w:p w14:paraId="3A63CF6B">
            <w:pPr>
              <w:jc w:val="center"/>
              <w:rPr>
                <w:rFonts w:hint="default" w:ascii="Times New Roman" w:hAnsi="Times New Roman" w:cs="Times New Roman"/>
                <w:color w:val="auto"/>
                <w:vertAlign w:val="baseline"/>
              </w:rPr>
            </w:pPr>
          </w:p>
        </w:tc>
      </w:tr>
      <w:tr w14:paraId="334CF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1D832F95">
            <w:pPr>
              <w:jc w:val="both"/>
              <w:rPr>
                <w:rFonts w:hint="eastAsia" w:ascii="Times New Roman" w:hAnsi="Times New Roman" w:cs="Times New Roman"/>
                <w:color w:val="auto"/>
                <w:vertAlign w:val="baseline"/>
                <w:lang w:val="en-US" w:eastAsia="zh-CN"/>
              </w:rPr>
            </w:pPr>
          </w:p>
          <w:p w14:paraId="4088B52B">
            <w:pPr>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2026年：309省道涡河大桥、跨青阜铁路桥定期检测评定</w:t>
            </w:r>
          </w:p>
          <w:p w14:paraId="2105528B">
            <w:pPr>
              <w:jc w:val="center"/>
              <w:rPr>
                <w:rFonts w:hint="default" w:ascii="Times New Roman" w:hAnsi="Times New Roman" w:cs="Times New Roman"/>
                <w:color w:val="auto"/>
                <w:vertAlign w:val="baseline"/>
              </w:rPr>
            </w:pPr>
          </w:p>
        </w:tc>
        <w:tc>
          <w:tcPr>
            <w:tcW w:w="738" w:type="pct"/>
            <w:vAlign w:val="center"/>
          </w:tcPr>
          <w:p w14:paraId="46C64C43">
            <w:pPr>
              <w:jc w:val="center"/>
              <w:rPr>
                <w:rFonts w:hint="default" w:ascii="Times New Roman" w:hAnsi="Times New Roman" w:cs="Times New Roman"/>
                <w:color w:val="auto"/>
                <w:vertAlign w:val="baseline"/>
              </w:rPr>
            </w:pPr>
          </w:p>
        </w:tc>
        <w:tc>
          <w:tcPr>
            <w:tcW w:w="727" w:type="pct"/>
            <w:vAlign w:val="center"/>
          </w:tcPr>
          <w:p w14:paraId="31F733FC">
            <w:pPr>
              <w:jc w:val="center"/>
              <w:rPr>
                <w:rFonts w:hint="default" w:ascii="Times New Roman" w:hAnsi="Times New Roman" w:cs="Times New Roman"/>
                <w:color w:val="auto"/>
                <w:vertAlign w:val="baseline"/>
              </w:rPr>
            </w:pPr>
          </w:p>
        </w:tc>
        <w:tc>
          <w:tcPr>
            <w:tcW w:w="738" w:type="pct"/>
            <w:vAlign w:val="center"/>
          </w:tcPr>
          <w:p w14:paraId="2F13B294">
            <w:pPr>
              <w:jc w:val="center"/>
              <w:rPr>
                <w:rFonts w:hint="default" w:ascii="Times New Roman" w:hAnsi="Times New Roman" w:cs="Times New Roman"/>
                <w:color w:val="auto"/>
                <w:vertAlign w:val="baseline"/>
              </w:rPr>
            </w:pPr>
          </w:p>
        </w:tc>
      </w:tr>
      <w:tr w14:paraId="14A9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052D4B5B">
            <w:pPr>
              <w:jc w:val="both"/>
              <w:rPr>
                <w:rFonts w:hint="default" w:ascii="Times New Roman" w:hAnsi="Times New Roman" w:cs="Times New Roman"/>
                <w:color w:val="auto"/>
                <w:vertAlign w:val="baseline"/>
              </w:rPr>
            </w:pPr>
            <w:r>
              <w:rPr>
                <w:rFonts w:hint="eastAsia" w:ascii="Times New Roman" w:hAnsi="Times New Roman" w:cs="Times New Roman"/>
                <w:color w:val="auto"/>
                <w:vertAlign w:val="baseline"/>
                <w:lang w:val="en-US" w:eastAsia="zh-CN"/>
              </w:rPr>
              <w:t>2027年：高速全线道路检测评定</w:t>
            </w:r>
          </w:p>
        </w:tc>
        <w:tc>
          <w:tcPr>
            <w:tcW w:w="738" w:type="pct"/>
            <w:vAlign w:val="center"/>
          </w:tcPr>
          <w:p w14:paraId="0B5F24C0">
            <w:pPr>
              <w:jc w:val="center"/>
              <w:rPr>
                <w:rFonts w:hint="default" w:ascii="Times New Roman" w:hAnsi="Times New Roman" w:cs="Times New Roman"/>
                <w:color w:val="auto"/>
                <w:vertAlign w:val="baseline"/>
              </w:rPr>
            </w:pPr>
          </w:p>
        </w:tc>
        <w:tc>
          <w:tcPr>
            <w:tcW w:w="727" w:type="pct"/>
            <w:vAlign w:val="center"/>
          </w:tcPr>
          <w:p w14:paraId="4AED7467">
            <w:pPr>
              <w:jc w:val="center"/>
              <w:rPr>
                <w:rFonts w:hint="default" w:ascii="Times New Roman" w:hAnsi="Times New Roman" w:cs="Times New Roman"/>
                <w:color w:val="auto"/>
                <w:vertAlign w:val="baseline"/>
              </w:rPr>
            </w:pPr>
          </w:p>
        </w:tc>
        <w:tc>
          <w:tcPr>
            <w:tcW w:w="738" w:type="pct"/>
            <w:vAlign w:val="center"/>
          </w:tcPr>
          <w:p w14:paraId="675F9186">
            <w:pPr>
              <w:jc w:val="center"/>
              <w:rPr>
                <w:rFonts w:hint="default" w:ascii="Times New Roman" w:hAnsi="Times New Roman" w:cs="Times New Roman"/>
                <w:color w:val="auto"/>
                <w:vertAlign w:val="baseline"/>
              </w:rPr>
            </w:pPr>
          </w:p>
        </w:tc>
      </w:tr>
      <w:tr w14:paraId="4ABCA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5A1EC4C4">
            <w:pPr>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2027年：309省道全线49座桥梁、33座涵洞定期检测评定</w:t>
            </w:r>
          </w:p>
        </w:tc>
        <w:tc>
          <w:tcPr>
            <w:tcW w:w="738" w:type="pct"/>
            <w:vAlign w:val="center"/>
          </w:tcPr>
          <w:p w14:paraId="4096A4A9">
            <w:pPr>
              <w:jc w:val="center"/>
              <w:rPr>
                <w:rFonts w:hint="default" w:ascii="Times New Roman" w:hAnsi="Times New Roman" w:cs="Times New Roman"/>
                <w:color w:val="auto"/>
                <w:vertAlign w:val="baseline"/>
              </w:rPr>
            </w:pPr>
          </w:p>
        </w:tc>
        <w:tc>
          <w:tcPr>
            <w:tcW w:w="727" w:type="pct"/>
            <w:vAlign w:val="center"/>
          </w:tcPr>
          <w:p w14:paraId="3BDD142B">
            <w:pPr>
              <w:jc w:val="center"/>
              <w:rPr>
                <w:rFonts w:hint="default" w:ascii="Times New Roman" w:hAnsi="Times New Roman" w:cs="Times New Roman"/>
                <w:color w:val="auto"/>
                <w:vertAlign w:val="baseline"/>
              </w:rPr>
            </w:pPr>
          </w:p>
        </w:tc>
        <w:tc>
          <w:tcPr>
            <w:tcW w:w="738" w:type="pct"/>
            <w:vAlign w:val="center"/>
          </w:tcPr>
          <w:p w14:paraId="0F147757">
            <w:pPr>
              <w:jc w:val="center"/>
              <w:rPr>
                <w:rFonts w:hint="default" w:ascii="Times New Roman" w:hAnsi="Times New Roman" w:cs="Times New Roman"/>
                <w:color w:val="auto"/>
                <w:vertAlign w:val="baseline"/>
              </w:rPr>
            </w:pPr>
          </w:p>
        </w:tc>
      </w:tr>
      <w:tr w14:paraId="223F9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43CB12E1">
            <w:pPr>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2028年：高速全线道路检测评定，23座桥梁、42座涵洞检测评定</w:t>
            </w:r>
          </w:p>
          <w:p w14:paraId="457380BD">
            <w:pPr>
              <w:jc w:val="center"/>
              <w:rPr>
                <w:rFonts w:hint="default" w:ascii="Times New Roman" w:hAnsi="Times New Roman" w:cs="Times New Roman"/>
                <w:color w:val="auto"/>
                <w:vertAlign w:val="baseline"/>
              </w:rPr>
            </w:pPr>
          </w:p>
        </w:tc>
        <w:tc>
          <w:tcPr>
            <w:tcW w:w="738" w:type="pct"/>
            <w:vAlign w:val="center"/>
          </w:tcPr>
          <w:p w14:paraId="542BB854">
            <w:pPr>
              <w:jc w:val="center"/>
              <w:rPr>
                <w:rFonts w:hint="default" w:ascii="Times New Roman" w:hAnsi="Times New Roman" w:cs="Times New Roman"/>
                <w:color w:val="auto"/>
                <w:vertAlign w:val="baseline"/>
              </w:rPr>
            </w:pPr>
          </w:p>
        </w:tc>
        <w:tc>
          <w:tcPr>
            <w:tcW w:w="727" w:type="pct"/>
            <w:vAlign w:val="center"/>
          </w:tcPr>
          <w:p w14:paraId="2E7E2EB6">
            <w:pPr>
              <w:jc w:val="center"/>
              <w:rPr>
                <w:rFonts w:hint="default" w:ascii="Times New Roman" w:hAnsi="Times New Roman" w:cs="Times New Roman"/>
                <w:color w:val="auto"/>
                <w:vertAlign w:val="baseline"/>
              </w:rPr>
            </w:pPr>
          </w:p>
        </w:tc>
        <w:tc>
          <w:tcPr>
            <w:tcW w:w="738" w:type="pct"/>
            <w:vAlign w:val="center"/>
          </w:tcPr>
          <w:p w14:paraId="7F02D127">
            <w:pPr>
              <w:jc w:val="center"/>
              <w:rPr>
                <w:rFonts w:hint="default" w:ascii="Times New Roman" w:hAnsi="Times New Roman" w:cs="Times New Roman"/>
                <w:color w:val="auto"/>
                <w:vertAlign w:val="baseline"/>
              </w:rPr>
            </w:pPr>
          </w:p>
        </w:tc>
      </w:tr>
      <w:tr w14:paraId="7734F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624C6387">
            <w:pPr>
              <w:jc w:val="center"/>
              <w:rPr>
                <w:rFonts w:hint="default" w:ascii="Times New Roman" w:hAnsi="Times New Roman" w:cs="Times New Roman"/>
                <w:color w:val="auto"/>
                <w:vertAlign w:val="baseline"/>
              </w:rPr>
            </w:pPr>
            <w:r>
              <w:rPr>
                <w:rFonts w:hint="eastAsia" w:ascii="Times New Roman" w:hAnsi="Times New Roman" w:cs="Times New Roman"/>
                <w:color w:val="auto"/>
                <w:vertAlign w:val="baseline"/>
                <w:lang w:val="en-US" w:eastAsia="zh-CN"/>
              </w:rPr>
              <w:t>2028年：309省道涡河大桥、跨青阜铁路桥定期检测评定</w:t>
            </w:r>
          </w:p>
        </w:tc>
        <w:tc>
          <w:tcPr>
            <w:tcW w:w="738" w:type="pct"/>
            <w:vAlign w:val="center"/>
          </w:tcPr>
          <w:p w14:paraId="7249AA2B">
            <w:pPr>
              <w:jc w:val="center"/>
              <w:rPr>
                <w:rFonts w:hint="default" w:ascii="Times New Roman" w:hAnsi="Times New Roman" w:cs="Times New Roman"/>
                <w:color w:val="auto"/>
                <w:vertAlign w:val="baseline"/>
              </w:rPr>
            </w:pPr>
          </w:p>
        </w:tc>
        <w:tc>
          <w:tcPr>
            <w:tcW w:w="727" w:type="pct"/>
            <w:vAlign w:val="center"/>
          </w:tcPr>
          <w:p w14:paraId="42E5AE7E">
            <w:pPr>
              <w:jc w:val="center"/>
              <w:rPr>
                <w:rFonts w:hint="default" w:ascii="Times New Roman" w:hAnsi="Times New Roman" w:cs="Times New Roman"/>
                <w:color w:val="auto"/>
                <w:vertAlign w:val="baseline"/>
              </w:rPr>
            </w:pPr>
          </w:p>
        </w:tc>
        <w:tc>
          <w:tcPr>
            <w:tcW w:w="738" w:type="pct"/>
            <w:vAlign w:val="center"/>
          </w:tcPr>
          <w:p w14:paraId="3D3AFB92">
            <w:pPr>
              <w:jc w:val="center"/>
              <w:rPr>
                <w:rFonts w:hint="default" w:ascii="Times New Roman" w:hAnsi="Times New Roman" w:cs="Times New Roman"/>
                <w:color w:val="auto"/>
                <w:vertAlign w:val="baseline"/>
              </w:rPr>
            </w:pPr>
          </w:p>
        </w:tc>
      </w:tr>
      <w:tr w14:paraId="09EA3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1072A809">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暂列金（</w:t>
            </w:r>
            <w:r>
              <w:rPr>
                <w:rFonts w:hint="eastAsia" w:ascii="Times New Roman" w:hAnsi="Times New Roman" w:cs="Times New Roman"/>
                <w:color w:val="auto"/>
              </w:rPr>
              <w:t>上级主管部门在2026-2028年期间可能要求的其他检测内容</w:t>
            </w:r>
            <w:r>
              <w:rPr>
                <w:rFonts w:hint="eastAsia" w:ascii="Times New Roman" w:hAnsi="Times New Roman" w:cs="Times New Roman"/>
                <w:color w:val="auto"/>
                <w:lang w:val="en-US" w:eastAsia="zh-CN"/>
              </w:rPr>
              <w:t>预留预算，供应商无需报价</w:t>
            </w:r>
            <w:r>
              <w:rPr>
                <w:rFonts w:hint="eastAsia" w:ascii="Times New Roman" w:hAnsi="Times New Roman" w:cs="Times New Roman"/>
                <w:color w:val="auto"/>
                <w:vertAlign w:val="baseline"/>
                <w:lang w:val="en-US" w:eastAsia="zh-CN"/>
              </w:rPr>
              <w:t>）</w:t>
            </w:r>
          </w:p>
        </w:tc>
        <w:tc>
          <w:tcPr>
            <w:tcW w:w="738" w:type="pct"/>
            <w:vAlign w:val="center"/>
          </w:tcPr>
          <w:p w14:paraId="7B5F0105">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w:t>
            </w:r>
          </w:p>
        </w:tc>
        <w:tc>
          <w:tcPr>
            <w:tcW w:w="727" w:type="pct"/>
            <w:vAlign w:val="center"/>
          </w:tcPr>
          <w:p w14:paraId="6A255D69">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w:t>
            </w:r>
          </w:p>
        </w:tc>
        <w:tc>
          <w:tcPr>
            <w:tcW w:w="738" w:type="pct"/>
            <w:vAlign w:val="center"/>
          </w:tcPr>
          <w:p w14:paraId="0E7D4F7B">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100000</w:t>
            </w:r>
          </w:p>
        </w:tc>
      </w:tr>
      <w:tr w14:paraId="7602A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4261" w:type="pct"/>
            <w:gridSpan w:val="3"/>
            <w:vAlign w:val="center"/>
          </w:tcPr>
          <w:p w14:paraId="141D57B1">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合计（含税）</w:t>
            </w:r>
          </w:p>
        </w:tc>
        <w:tc>
          <w:tcPr>
            <w:tcW w:w="738" w:type="pct"/>
            <w:vAlign w:val="center"/>
          </w:tcPr>
          <w:p w14:paraId="1F06B67B">
            <w:pPr>
              <w:jc w:val="center"/>
              <w:rPr>
                <w:rFonts w:hint="eastAsia" w:ascii="Times New Roman" w:hAnsi="Times New Roman" w:cs="Times New Roman"/>
                <w:color w:val="auto"/>
                <w:vertAlign w:val="baseline"/>
                <w:lang w:val="en-US" w:eastAsia="zh-CN"/>
              </w:rPr>
            </w:pPr>
          </w:p>
        </w:tc>
      </w:tr>
    </w:tbl>
    <w:p w14:paraId="5D1AB0B2">
      <w:pPr>
        <w:spacing w:line="440" w:lineRule="exact"/>
        <w:rPr>
          <w:rFonts w:hint="eastAsia" w:ascii="Times New Roman" w:hAnsi="Times New Roman" w:cs="Times New Roman"/>
          <w:color w:val="auto"/>
          <w:szCs w:val="21"/>
          <w:lang w:eastAsia="zh-CN"/>
        </w:rPr>
      </w:pPr>
    </w:p>
    <w:p w14:paraId="1C23B77C">
      <w:pPr>
        <w:spacing w:line="440" w:lineRule="exact"/>
        <w:rPr>
          <w:rFonts w:hint="eastAsia" w:ascii="Times New Roman" w:hAnsi="Times New Roman" w:cs="Times New Roman"/>
          <w:color w:val="auto"/>
          <w:szCs w:val="21"/>
          <w:lang w:eastAsia="zh-CN"/>
        </w:rPr>
      </w:pPr>
    </w:p>
    <w:p w14:paraId="444F1827">
      <w:pPr>
        <w:spacing w:line="440" w:lineRule="exact"/>
        <w:jc w:val="righ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F865127">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5FFA2432">
      <w:pPr>
        <w:spacing w:line="440" w:lineRule="exact"/>
        <w:ind w:firstLine="4830" w:firstLineChars="23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0ED2E0EE">
      <w:pPr>
        <w:jc w:val="center"/>
        <w:rPr>
          <w:rFonts w:hint="eastAsia" w:ascii="Times New Roman" w:hAnsi="Times New Roman" w:cs="Times New Roman"/>
          <w:color w:val="auto"/>
          <w:lang w:val="en-US" w:eastAsia="zh-CN"/>
        </w:rPr>
      </w:pPr>
    </w:p>
    <w:p w14:paraId="64F40842">
      <w:pPr>
        <w:rPr>
          <w:rFonts w:hint="default" w:ascii="Times New Roman" w:hAnsi="Times New Roman" w:cs="Times New Roman"/>
          <w:color w:val="auto"/>
        </w:rPr>
      </w:pPr>
    </w:p>
    <w:p w14:paraId="123A4B51">
      <w:pPr>
        <w:rPr>
          <w:rFonts w:hint="default" w:ascii="Times New Roman" w:hAnsi="Times New Roman" w:cs="Times New Roman"/>
          <w:color w:val="auto"/>
        </w:rPr>
      </w:pPr>
      <w:r>
        <w:rPr>
          <w:rFonts w:hint="default" w:ascii="Times New Roman" w:hAnsi="Times New Roman" w:cs="Times New Roman"/>
          <w:color w:val="auto"/>
        </w:rPr>
        <w:br w:type="page"/>
      </w:r>
    </w:p>
    <w:p w14:paraId="577D3DDA">
      <w:pPr>
        <w:pStyle w:val="3"/>
        <w:jc w:val="center"/>
        <w:rPr>
          <w:rFonts w:hint="eastAsia"/>
          <w:color w:val="auto"/>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rPr>
        <w:t>资格审查资料</w:t>
      </w:r>
    </w:p>
    <w:p w14:paraId="3DAB7550">
      <w:pPr>
        <w:pStyle w:val="4"/>
        <w:jc w:val="both"/>
        <w:rPr>
          <w:rFonts w:hint="eastAsia"/>
          <w:color w:val="auto"/>
        </w:rPr>
      </w:pPr>
      <w:bookmarkStart w:id="307" w:name="_Toc179632828"/>
      <w:bookmarkStart w:id="308" w:name="_Toc296602618"/>
      <w:bookmarkStart w:id="309" w:name="_Toc246997116"/>
      <w:bookmarkStart w:id="310" w:name="_Toc247085891"/>
      <w:bookmarkStart w:id="311" w:name="_Toc246996373"/>
      <w:r>
        <w:rPr>
          <w:color w:val="auto"/>
        </w:rPr>
        <w:t>（一）</w:t>
      </w:r>
      <w:r>
        <w:rPr>
          <w:rFonts w:hint="eastAsia"/>
          <w:color w:val="auto"/>
          <w:lang w:eastAsia="zh-CN"/>
        </w:rPr>
        <w:t>供应商</w:t>
      </w:r>
      <w:r>
        <w:rPr>
          <w:color w:val="auto"/>
        </w:rPr>
        <w:t>基本情况表</w:t>
      </w:r>
      <w:bookmarkEnd w:id="307"/>
      <w:bookmarkEnd w:id="308"/>
      <w:bookmarkEnd w:id="309"/>
      <w:bookmarkEnd w:id="310"/>
      <w:bookmarkEnd w:id="311"/>
    </w:p>
    <w:tbl>
      <w:tblPr>
        <w:tblStyle w:val="1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rPr>
            </w:pPr>
            <w:r>
              <w:rPr>
                <w:rFonts w:hint="eastAsia"/>
                <w:color w:val="auto"/>
                <w:szCs w:val="21"/>
                <w:lang w:eastAsia="zh-CN"/>
              </w:rPr>
              <w:t>供应商</w:t>
            </w:r>
            <w:r>
              <w:rPr>
                <w:color w:val="auto"/>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rPr>
            </w:pPr>
            <w:r>
              <w:rPr>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rPr>
            </w:pPr>
            <w:r>
              <w:rPr>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rPr>
            </w:pPr>
            <w:r>
              <w:rPr>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rPr>
            </w:pPr>
            <w:r>
              <w:rPr>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rPr>
            </w:pPr>
            <w:r>
              <w:rPr>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rPr>
            </w:pPr>
            <w:r>
              <w:rPr>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rPr>
            </w:pPr>
            <w:r>
              <w:rPr>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rPr>
            </w:pPr>
            <w:r>
              <w:rPr>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rPr>
            </w:pPr>
            <w:r>
              <w:rPr>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rPr>
            </w:pPr>
            <w:r>
              <w:rPr>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rPr>
            </w:pPr>
            <w:r>
              <w:rPr>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rPr>
            </w:pPr>
            <w:r>
              <w:rPr>
                <w:color w:val="auto"/>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rPr>
            </w:pPr>
            <w:r>
              <w:rPr>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rPr>
            </w:pPr>
            <w:r>
              <w:rPr>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lang w:eastAsia="zh-CN"/>
              </w:rPr>
            </w:pPr>
            <w:r>
              <w:rPr>
                <w:rFonts w:hint="eastAsia"/>
                <w:color w:val="auto"/>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rPr>
            </w:pPr>
            <w:r>
              <w:rPr>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rPr>
            </w:pPr>
            <w:r>
              <w:rPr>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rPr>
            </w:pPr>
            <w:r>
              <w:rPr>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rPr>
            </w:pPr>
            <w:r>
              <w:rPr>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rPr>
            </w:pPr>
            <w:r>
              <w:rPr>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rPr>
            </w:pPr>
            <w:r>
              <w:rPr>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rPr>
            </w:pPr>
            <w:r>
              <w:rPr>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rPr>
            </w:pPr>
            <w:r>
              <w:rPr>
                <w:color w:val="auto"/>
                <w:szCs w:val="21"/>
              </w:rPr>
              <w:t>技</w:t>
            </w:r>
            <w:r>
              <w:rPr>
                <w:rFonts w:hint="eastAsia"/>
                <w:color w:val="auto"/>
                <w:szCs w:val="21"/>
              </w:rPr>
              <w:t xml:space="preserve">  </w:t>
            </w:r>
            <w:r>
              <w:rPr>
                <w:color w:val="auto"/>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rPr>
            </w:pPr>
            <w:r>
              <w:rPr>
                <w:color w:val="auto"/>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rPr>
            </w:pPr>
          </w:p>
          <w:p w14:paraId="04DC479E">
            <w:pPr>
              <w:topLinePunct/>
              <w:spacing w:line="440" w:lineRule="exact"/>
              <w:jc w:val="center"/>
              <w:rPr>
                <w:color w:val="auto"/>
                <w:szCs w:val="21"/>
              </w:rPr>
            </w:pPr>
          </w:p>
          <w:p w14:paraId="646CDE54">
            <w:pPr>
              <w:topLinePunct/>
              <w:spacing w:line="440" w:lineRule="exact"/>
              <w:jc w:val="center"/>
              <w:rPr>
                <w:color w:val="auto"/>
                <w:szCs w:val="21"/>
              </w:rPr>
            </w:pPr>
          </w:p>
          <w:p w14:paraId="5EB48E85">
            <w:pPr>
              <w:topLinePunct/>
              <w:spacing w:line="440" w:lineRule="exact"/>
              <w:jc w:val="center"/>
              <w:rPr>
                <w:color w:val="auto"/>
                <w:szCs w:val="21"/>
              </w:rPr>
            </w:pPr>
          </w:p>
          <w:p w14:paraId="1C01AE0C">
            <w:pPr>
              <w:topLinePunct/>
              <w:spacing w:line="440" w:lineRule="exact"/>
              <w:rPr>
                <w:color w:val="auto"/>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rPr>
            </w:pPr>
            <w:r>
              <w:rPr>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rPr>
            </w:pPr>
          </w:p>
        </w:tc>
      </w:tr>
    </w:tbl>
    <w:p w14:paraId="5C823A1D">
      <w:pPr>
        <w:rPr>
          <w:rFonts w:hint="default" w:ascii="Times New Roman" w:hAnsi="Times New Roman" w:cs="Times New Roman"/>
          <w:color w:val="auto"/>
        </w:rPr>
      </w:pPr>
    </w:p>
    <w:p w14:paraId="4D82630B">
      <w:pPr>
        <w:rPr>
          <w:rFonts w:hint="default" w:ascii="Times New Roman" w:hAnsi="Times New Roman" w:cs="Times New Roman"/>
          <w:color w:val="auto"/>
        </w:rPr>
      </w:pPr>
      <w:r>
        <w:rPr>
          <w:rFonts w:hint="default" w:ascii="Times New Roman" w:hAnsi="Times New Roman" w:cs="Times New Roman"/>
          <w:color w:val="auto"/>
        </w:rPr>
        <w:br w:type="page"/>
      </w:r>
    </w:p>
    <w:p w14:paraId="1A4F967C">
      <w:pPr>
        <w:pStyle w:val="4"/>
        <w:jc w:val="both"/>
        <w:rPr>
          <w:color w:val="auto"/>
        </w:rPr>
      </w:pPr>
      <w:bookmarkStart w:id="312" w:name="_Toc247085888"/>
      <w:bookmarkStart w:id="313" w:name="_Toc246996370"/>
      <w:bookmarkStart w:id="314" w:name="_Toc296602615"/>
      <w:bookmarkStart w:id="315" w:name="_Toc246997113"/>
      <w:bookmarkStart w:id="316" w:name="_Toc152042599"/>
      <w:bookmarkStart w:id="317" w:name="_Toc247527850"/>
      <w:bookmarkStart w:id="318" w:name="_Toc300835226"/>
      <w:bookmarkStart w:id="319" w:name="_Toc152045810"/>
      <w:bookmarkStart w:id="320" w:name="_Toc247514302"/>
      <w:bookmarkStart w:id="321" w:name="_Toc144974878"/>
      <w:r>
        <w:rPr>
          <w:color w:val="auto"/>
        </w:rPr>
        <w:t>（</w:t>
      </w:r>
      <w:r>
        <w:rPr>
          <w:rFonts w:hint="eastAsia"/>
          <w:color w:val="auto"/>
          <w:lang w:val="en-US" w:eastAsia="zh-CN"/>
        </w:rPr>
        <w:t>二</w:t>
      </w:r>
      <w:r>
        <w:rPr>
          <w:color w:val="auto"/>
        </w:rPr>
        <w:t>）项目管理机构组成表</w:t>
      </w:r>
      <w:bookmarkEnd w:id="312"/>
      <w:bookmarkEnd w:id="313"/>
      <w:bookmarkEnd w:id="314"/>
      <w:bookmarkEnd w:id="315"/>
    </w:p>
    <w:p w14:paraId="69188AE7">
      <w:pPr>
        <w:spacing w:line="440" w:lineRule="exact"/>
        <w:jc w:val="center"/>
        <w:rPr>
          <w:rFonts w:eastAsia="黑体"/>
          <w:color w:val="auto"/>
          <w:sz w:val="23"/>
          <w:szCs w:val="23"/>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rPr>
            </w:pPr>
            <w:r>
              <w:rPr>
                <w:color w:val="auto"/>
                <w:szCs w:val="21"/>
              </w:rPr>
              <w:t>职务</w:t>
            </w:r>
          </w:p>
        </w:tc>
        <w:tc>
          <w:tcPr>
            <w:tcW w:w="721" w:type="dxa"/>
            <w:vMerge w:val="restart"/>
            <w:noWrap w:val="0"/>
            <w:vAlign w:val="center"/>
          </w:tcPr>
          <w:p w14:paraId="4435CE50">
            <w:pPr>
              <w:spacing w:line="440" w:lineRule="exact"/>
              <w:jc w:val="center"/>
              <w:rPr>
                <w:color w:val="auto"/>
                <w:szCs w:val="21"/>
              </w:rPr>
            </w:pPr>
            <w:r>
              <w:rPr>
                <w:color w:val="auto"/>
                <w:szCs w:val="21"/>
              </w:rPr>
              <w:t>姓名</w:t>
            </w:r>
          </w:p>
        </w:tc>
        <w:tc>
          <w:tcPr>
            <w:tcW w:w="719" w:type="dxa"/>
            <w:vMerge w:val="restart"/>
            <w:noWrap w:val="0"/>
            <w:vAlign w:val="center"/>
          </w:tcPr>
          <w:p w14:paraId="524CB841">
            <w:pPr>
              <w:spacing w:line="440" w:lineRule="exact"/>
              <w:jc w:val="center"/>
              <w:rPr>
                <w:color w:val="auto"/>
                <w:szCs w:val="21"/>
              </w:rPr>
            </w:pPr>
            <w:r>
              <w:rPr>
                <w:color w:val="auto"/>
                <w:szCs w:val="21"/>
              </w:rPr>
              <w:t>职称</w:t>
            </w:r>
          </w:p>
        </w:tc>
        <w:tc>
          <w:tcPr>
            <w:tcW w:w="5763" w:type="dxa"/>
            <w:gridSpan w:val="5"/>
            <w:noWrap w:val="0"/>
            <w:vAlign w:val="center"/>
          </w:tcPr>
          <w:p w14:paraId="415EC43E">
            <w:pPr>
              <w:spacing w:line="440" w:lineRule="exact"/>
              <w:jc w:val="center"/>
              <w:rPr>
                <w:color w:val="auto"/>
                <w:szCs w:val="21"/>
              </w:rPr>
            </w:pPr>
            <w:r>
              <w:rPr>
                <w:color w:val="auto"/>
                <w:szCs w:val="21"/>
              </w:rPr>
              <w:t>执业或职业资格证明</w:t>
            </w:r>
          </w:p>
        </w:tc>
        <w:tc>
          <w:tcPr>
            <w:tcW w:w="672" w:type="dxa"/>
            <w:noWrap w:val="0"/>
            <w:vAlign w:val="center"/>
          </w:tcPr>
          <w:p w14:paraId="6B97E336">
            <w:pPr>
              <w:spacing w:line="440" w:lineRule="exact"/>
              <w:jc w:val="center"/>
              <w:rPr>
                <w:color w:val="auto"/>
                <w:szCs w:val="21"/>
              </w:rPr>
            </w:pPr>
            <w:r>
              <w:rPr>
                <w:color w:val="auto"/>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rPr>
            </w:pPr>
          </w:p>
        </w:tc>
        <w:tc>
          <w:tcPr>
            <w:tcW w:w="721" w:type="dxa"/>
            <w:vMerge w:val="continue"/>
            <w:noWrap w:val="0"/>
            <w:vAlign w:val="center"/>
          </w:tcPr>
          <w:p w14:paraId="7DE208FB">
            <w:pPr>
              <w:spacing w:line="440" w:lineRule="exact"/>
              <w:jc w:val="center"/>
              <w:rPr>
                <w:color w:val="auto"/>
                <w:szCs w:val="21"/>
              </w:rPr>
            </w:pPr>
          </w:p>
        </w:tc>
        <w:tc>
          <w:tcPr>
            <w:tcW w:w="719" w:type="dxa"/>
            <w:vMerge w:val="continue"/>
            <w:noWrap w:val="0"/>
            <w:vAlign w:val="center"/>
          </w:tcPr>
          <w:p w14:paraId="17EAFFAC">
            <w:pPr>
              <w:spacing w:line="440" w:lineRule="exact"/>
              <w:jc w:val="center"/>
              <w:rPr>
                <w:color w:val="auto"/>
                <w:szCs w:val="21"/>
              </w:rPr>
            </w:pPr>
          </w:p>
        </w:tc>
        <w:tc>
          <w:tcPr>
            <w:tcW w:w="1081" w:type="dxa"/>
            <w:noWrap w:val="0"/>
            <w:vAlign w:val="center"/>
          </w:tcPr>
          <w:p w14:paraId="49DF7D6E">
            <w:pPr>
              <w:spacing w:line="440" w:lineRule="exact"/>
              <w:jc w:val="center"/>
              <w:rPr>
                <w:color w:val="auto"/>
                <w:szCs w:val="21"/>
              </w:rPr>
            </w:pPr>
            <w:r>
              <w:rPr>
                <w:color w:val="auto"/>
                <w:szCs w:val="21"/>
              </w:rPr>
              <w:t>证书名称</w:t>
            </w:r>
          </w:p>
        </w:tc>
        <w:tc>
          <w:tcPr>
            <w:tcW w:w="719" w:type="dxa"/>
            <w:noWrap w:val="0"/>
            <w:vAlign w:val="center"/>
          </w:tcPr>
          <w:p w14:paraId="526843A9">
            <w:pPr>
              <w:spacing w:line="440" w:lineRule="exact"/>
              <w:jc w:val="center"/>
              <w:rPr>
                <w:color w:val="auto"/>
                <w:szCs w:val="21"/>
              </w:rPr>
            </w:pPr>
            <w:r>
              <w:rPr>
                <w:color w:val="auto"/>
                <w:szCs w:val="21"/>
              </w:rPr>
              <w:t>级别</w:t>
            </w:r>
          </w:p>
        </w:tc>
        <w:tc>
          <w:tcPr>
            <w:tcW w:w="721" w:type="dxa"/>
            <w:noWrap w:val="0"/>
            <w:vAlign w:val="center"/>
          </w:tcPr>
          <w:p w14:paraId="3EA08767">
            <w:pPr>
              <w:spacing w:line="440" w:lineRule="exact"/>
              <w:jc w:val="center"/>
              <w:rPr>
                <w:color w:val="auto"/>
                <w:szCs w:val="21"/>
              </w:rPr>
            </w:pPr>
            <w:r>
              <w:rPr>
                <w:color w:val="auto"/>
                <w:szCs w:val="21"/>
              </w:rPr>
              <w:t>证号</w:t>
            </w:r>
          </w:p>
        </w:tc>
        <w:tc>
          <w:tcPr>
            <w:tcW w:w="719" w:type="dxa"/>
            <w:noWrap w:val="0"/>
            <w:vAlign w:val="center"/>
          </w:tcPr>
          <w:p w14:paraId="71969FAD">
            <w:pPr>
              <w:spacing w:line="440" w:lineRule="exact"/>
              <w:jc w:val="center"/>
              <w:rPr>
                <w:color w:val="auto"/>
                <w:szCs w:val="21"/>
              </w:rPr>
            </w:pPr>
            <w:r>
              <w:rPr>
                <w:color w:val="auto"/>
                <w:szCs w:val="21"/>
              </w:rPr>
              <w:t>专业</w:t>
            </w:r>
          </w:p>
        </w:tc>
        <w:tc>
          <w:tcPr>
            <w:tcW w:w="2523" w:type="dxa"/>
            <w:noWrap w:val="0"/>
            <w:vAlign w:val="center"/>
          </w:tcPr>
          <w:p w14:paraId="575756FA">
            <w:pPr>
              <w:spacing w:line="440" w:lineRule="exact"/>
              <w:jc w:val="center"/>
              <w:rPr>
                <w:color w:val="auto"/>
                <w:szCs w:val="21"/>
              </w:rPr>
            </w:pPr>
            <w:r>
              <w:rPr>
                <w:color w:val="auto"/>
                <w:szCs w:val="21"/>
              </w:rPr>
              <w:t>养老保险</w:t>
            </w:r>
          </w:p>
        </w:tc>
        <w:tc>
          <w:tcPr>
            <w:tcW w:w="672" w:type="dxa"/>
            <w:noWrap w:val="0"/>
            <w:vAlign w:val="center"/>
          </w:tcPr>
          <w:p w14:paraId="3D8BD92A">
            <w:pPr>
              <w:spacing w:line="440" w:lineRule="exact"/>
              <w:jc w:val="center"/>
              <w:rPr>
                <w:color w:val="auto"/>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rPr>
            </w:pPr>
          </w:p>
        </w:tc>
        <w:tc>
          <w:tcPr>
            <w:tcW w:w="721" w:type="dxa"/>
            <w:noWrap w:val="0"/>
            <w:vAlign w:val="center"/>
          </w:tcPr>
          <w:p w14:paraId="179B1EF6">
            <w:pPr>
              <w:spacing w:line="440" w:lineRule="exact"/>
              <w:jc w:val="center"/>
              <w:rPr>
                <w:color w:val="auto"/>
                <w:szCs w:val="21"/>
              </w:rPr>
            </w:pPr>
          </w:p>
        </w:tc>
        <w:tc>
          <w:tcPr>
            <w:tcW w:w="719" w:type="dxa"/>
            <w:noWrap w:val="0"/>
            <w:vAlign w:val="center"/>
          </w:tcPr>
          <w:p w14:paraId="7C065F86">
            <w:pPr>
              <w:spacing w:line="440" w:lineRule="exact"/>
              <w:jc w:val="center"/>
              <w:rPr>
                <w:color w:val="auto"/>
                <w:szCs w:val="21"/>
              </w:rPr>
            </w:pPr>
          </w:p>
        </w:tc>
        <w:tc>
          <w:tcPr>
            <w:tcW w:w="1081" w:type="dxa"/>
            <w:noWrap w:val="0"/>
            <w:vAlign w:val="center"/>
          </w:tcPr>
          <w:p w14:paraId="337A8DD2">
            <w:pPr>
              <w:spacing w:line="440" w:lineRule="exact"/>
              <w:jc w:val="center"/>
              <w:rPr>
                <w:color w:val="auto"/>
                <w:szCs w:val="21"/>
              </w:rPr>
            </w:pPr>
          </w:p>
        </w:tc>
        <w:tc>
          <w:tcPr>
            <w:tcW w:w="719" w:type="dxa"/>
            <w:noWrap w:val="0"/>
            <w:vAlign w:val="center"/>
          </w:tcPr>
          <w:p w14:paraId="4EE34510">
            <w:pPr>
              <w:spacing w:line="440" w:lineRule="exact"/>
              <w:jc w:val="center"/>
              <w:rPr>
                <w:color w:val="auto"/>
                <w:szCs w:val="21"/>
              </w:rPr>
            </w:pPr>
          </w:p>
        </w:tc>
        <w:tc>
          <w:tcPr>
            <w:tcW w:w="721" w:type="dxa"/>
            <w:noWrap w:val="0"/>
            <w:vAlign w:val="center"/>
          </w:tcPr>
          <w:p w14:paraId="34CCFD0D">
            <w:pPr>
              <w:spacing w:line="440" w:lineRule="exact"/>
              <w:jc w:val="center"/>
              <w:rPr>
                <w:color w:val="auto"/>
                <w:szCs w:val="21"/>
              </w:rPr>
            </w:pPr>
          </w:p>
        </w:tc>
        <w:tc>
          <w:tcPr>
            <w:tcW w:w="719" w:type="dxa"/>
            <w:noWrap w:val="0"/>
            <w:vAlign w:val="center"/>
          </w:tcPr>
          <w:p w14:paraId="18DBA9D5">
            <w:pPr>
              <w:spacing w:line="440" w:lineRule="exact"/>
              <w:jc w:val="center"/>
              <w:rPr>
                <w:color w:val="auto"/>
                <w:szCs w:val="21"/>
              </w:rPr>
            </w:pPr>
          </w:p>
        </w:tc>
        <w:tc>
          <w:tcPr>
            <w:tcW w:w="2523" w:type="dxa"/>
            <w:noWrap w:val="0"/>
            <w:vAlign w:val="center"/>
          </w:tcPr>
          <w:p w14:paraId="18FF85A7">
            <w:pPr>
              <w:spacing w:line="440" w:lineRule="exact"/>
              <w:jc w:val="center"/>
              <w:rPr>
                <w:color w:val="auto"/>
                <w:szCs w:val="21"/>
              </w:rPr>
            </w:pPr>
          </w:p>
        </w:tc>
        <w:tc>
          <w:tcPr>
            <w:tcW w:w="672" w:type="dxa"/>
            <w:noWrap w:val="0"/>
            <w:vAlign w:val="center"/>
          </w:tcPr>
          <w:p w14:paraId="384C174E">
            <w:pPr>
              <w:spacing w:line="440" w:lineRule="exact"/>
              <w:jc w:val="center"/>
              <w:rPr>
                <w:color w:val="auto"/>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rPr>
            </w:pPr>
          </w:p>
        </w:tc>
        <w:tc>
          <w:tcPr>
            <w:tcW w:w="721" w:type="dxa"/>
            <w:noWrap w:val="0"/>
            <w:vAlign w:val="top"/>
          </w:tcPr>
          <w:p w14:paraId="51A50315">
            <w:pPr>
              <w:spacing w:line="440" w:lineRule="exact"/>
              <w:jc w:val="center"/>
              <w:rPr>
                <w:color w:val="auto"/>
                <w:szCs w:val="21"/>
              </w:rPr>
            </w:pPr>
          </w:p>
        </w:tc>
        <w:tc>
          <w:tcPr>
            <w:tcW w:w="719" w:type="dxa"/>
            <w:noWrap w:val="0"/>
            <w:vAlign w:val="top"/>
          </w:tcPr>
          <w:p w14:paraId="5FE7917C">
            <w:pPr>
              <w:spacing w:line="440" w:lineRule="exact"/>
              <w:jc w:val="center"/>
              <w:rPr>
                <w:color w:val="auto"/>
                <w:szCs w:val="21"/>
              </w:rPr>
            </w:pPr>
          </w:p>
        </w:tc>
        <w:tc>
          <w:tcPr>
            <w:tcW w:w="1081" w:type="dxa"/>
            <w:noWrap w:val="0"/>
            <w:vAlign w:val="top"/>
          </w:tcPr>
          <w:p w14:paraId="44077F4C">
            <w:pPr>
              <w:spacing w:line="440" w:lineRule="exact"/>
              <w:jc w:val="center"/>
              <w:rPr>
                <w:color w:val="auto"/>
                <w:szCs w:val="21"/>
              </w:rPr>
            </w:pPr>
          </w:p>
        </w:tc>
        <w:tc>
          <w:tcPr>
            <w:tcW w:w="719" w:type="dxa"/>
            <w:noWrap w:val="0"/>
            <w:vAlign w:val="top"/>
          </w:tcPr>
          <w:p w14:paraId="607CF6F2">
            <w:pPr>
              <w:spacing w:line="440" w:lineRule="exact"/>
              <w:jc w:val="center"/>
              <w:rPr>
                <w:color w:val="auto"/>
                <w:szCs w:val="21"/>
              </w:rPr>
            </w:pPr>
          </w:p>
        </w:tc>
        <w:tc>
          <w:tcPr>
            <w:tcW w:w="721" w:type="dxa"/>
            <w:noWrap w:val="0"/>
            <w:vAlign w:val="top"/>
          </w:tcPr>
          <w:p w14:paraId="0AC30289">
            <w:pPr>
              <w:spacing w:line="440" w:lineRule="exact"/>
              <w:jc w:val="center"/>
              <w:rPr>
                <w:color w:val="auto"/>
                <w:szCs w:val="21"/>
              </w:rPr>
            </w:pPr>
          </w:p>
        </w:tc>
        <w:tc>
          <w:tcPr>
            <w:tcW w:w="719" w:type="dxa"/>
            <w:noWrap w:val="0"/>
            <w:vAlign w:val="top"/>
          </w:tcPr>
          <w:p w14:paraId="0B9C3A9D">
            <w:pPr>
              <w:spacing w:line="440" w:lineRule="exact"/>
              <w:jc w:val="center"/>
              <w:rPr>
                <w:color w:val="auto"/>
                <w:szCs w:val="21"/>
              </w:rPr>
            </w:pPr>
          </w:p>
        </w:tc>
        <w:tc>
          <w:tcPr>
            <w:tcW w:w="2523" w:type="dxa"/>
            <w:noWrap w:val="0"/>
            <w:vAlign w:val="top"/>
          </w:tcPr>
          <w:p w14:paraId="2F894236">
            <w:pPr>
              <w:spacing w:line="440" w:lineRule="exact"/>
              <w:jc w:val="center"/>
              <w:rPr>
                <w:color w:val="auto"/>
                <w:szCs w:val="21"/>
              </w:rPr>
            </w:pPr>
          </w:p>
        </w:tc>
        <w:tc>
          <w:tcPr>
            <w:tcW w:w="672" w:type="dxa"/>
            <w:noWrap w:val="0"/>
            <w:vAlign w:val="top"/>
          </w:tcPr>
          <w:p w14:paraId="585DB91F">
            <w:pPr>
              <w:spacing w:line="440" w:lineRule="exact"/>
              <w:jc w:val="center"/>
              <w:rPr>
                <w:color w:val="auto"/>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rPr>
            </w:pPr>
          </w:p>
        </w:tc>
        <w:tc>
          <w:tcPr>
            <w:tcW w:w="721" w:type="dxa"/>
            <w:noWrap w:val="0"/>
            <w:vAlign w:val="top"/>
          </w:tcPr>
          <w:p w14:paraId="41077A20">
            <w:pPr>
              <w:spacing w:line="440" w:lineRule="exact"/>
              <w:jc w:val="center"/>
              <w:rPr>
                <w:color w:val="auto"/>
                <w:szCs w:val="21"/>
              </w:rPr>
            </w:pPr>
          </w:p>
        </w:tc>
        <w:tc>
          <w:tcPr>
            <w:tcW w:w="719" w:type="dxa"/>
            <w:noWrap w:val="0"/>
            <w:vAlign w:val="top"/>
          </w:tcPr>
          <w:p w14:paraId="7EBD62AA">
            <w:pPr>
              <w:spacing w:line="440" w:lineRule="exact"/>
              <w:jc w:val="center"/>
              <w:rPr>
                <w:color w:val="auto"/>
                <w:szCs w:val="21"/>
              </w:rPr>
            </w:pPr>
          </w:p>
        </w:tc>
        <w:tc>
          <w:tcPr>
            <w:tcW w:w="1081" w:type="dxa"/>
            <w:noWrap w:val="0"/>
            <w:vAlign w:val="top"/>
          </w:tcPr>
          <w:p w14:paraId="34AB47B2">
            <w:pPr>
              <w:spacing w:line="440" w:lineRule="exact"/>
              <w:jc w:val="center"/>
              <w:rPr>
                <w:color w:val="auto"/>
                <w:szCs w:val="21"/>
              </w:rPr>
            </w:pPr>
          </w:p>
        </w:tc>
        <w:tc>
          <w:tcPr>
            <w:tcW w:w="719" w:type="dxa"/>
            <w:noWrap w:val="0"/>
            <w:vAlign w:val="top"/>
          </w:tcPr>
          <w:p w14:paraId="475951ED">
            <w:pPr>
              <w:spacing w:line="440" w:lineRule="exact"/>
              <w:jc w:val="center"/>
              <w:rPr>
                <w:color w:val="auto"/>
                <w:szCs w:val="21"/>
              </w:rPr>
            </w:pPr>
          </w:p>
        </w:tc>
        <w:tc>
          <w:tcPr>
            <w:tcW w:w="721" w:type="dxa"/>
            <w:noWrap w:val="0"/>
            <w:vAlign w:val="top"/>
          </w:tcPr>
          <w:p w14:paraId="77E5735E">
            <w:pPr>
              <w:spacing w:line="440" w:lineRule="exact"/>
              <w:jc w:val="center"/>
              <w:rPr>
                <w:color w:val="auto"/>
                <w:szCs w:val="21"/>
              </w:rPr>
            </w:pPr>
          </w:p>
        </w:tc>
        <w:tc>
          <w:tcPr>
            <w:tcW w:w="719" w:type="dxa"/>
            <w:noWrap w:val="0"/>
            <w:vAlign w:val="top"/>
          </w:tcPr>
          <w:p w14:paraId="49CD4F00">
            <w:pPr>
              <w:spacing w:line="440" w:lineRule="exact"/>
              <w:jc w:val="center"/>
              <w:rPr>
                <w:color w:val="auto"/>
                <w:szCs w:val="21"/>
              </w:rPr>
            </w:pPr>
          </w:p>
        </w:tc>
        <w:tc>
          <w:tcPr>
            <w:tcW w:w="2523" w:type="dxa"/>
            <w:noWrap w:val="0"/>
            <w:vAlign w:val="top"/>
          </w:tcPr>
          <w:p w14:paraId="75DB956F">
            <w:pPr>
              <w:spacing w:line="440" w:lineRule="exact"/>
              <w:jc w:val="center"/>
              <w:rPr>
                <w:color w:val="auto"/>
                <w:szCs w:val="21"/>
              </w:rPr>
            </w:pPr>
          </w:p>
        </w:tc>
        <w:tc>
          <w:tcPr>
            <w:tcW w:w="672" w:type="dxa"/>
            <w:noWrap w:val="0"/>
            <w:vAlign w:val="top"/>
          </w:tcPr>
          <w:p w14:paraId="465D9688">
            <w:pPr>
              <w:spacing w:line="440" w:lineRule="exact"/>
              <w:jc w:val="center"/>
              <w:rPr>
                <w:color w:val="auto"/>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rPr>
            </w:pPr>
          </w:p>
        </w:tc>
        <w:tc>
          <w:tcPr>
            <w:tcW w:w="721" w:type="dxa"/>
            <w:noWrap w:val="0"/>
            <w:vAlign w:val="top"/>
          </w:tcPr>
          <w:p w14:paraId="386C8973">
            <w:pPr>
              <w:spacing w:line="440" w:lineRule="exact"/>
              <w:jc w:val="center"/>
              <w:rPr>
                <w:color w:val="auto"/>
                <w:szCs w:val="21"/>
              </w:rPr>
            </w:pPr>
          </w:p>
        </w:tc>
        <w:tc>
          <w:tcPr>
            <w:tcW w:w="719" w:type="dxa"/>
            <w:noWrap w:val="0"/>
            <w:vAlign w:val="top"/>
          </w:tcPr>
          <w:p w14:paraId="490B1823">
            <w:pPr>
              <w:spacing w:line="440" w:lineRule="exact"/>
              <w:jc w:val="center"/>
              <w:rPr>
                <w:color w:val="auto"/>
                <w:szCs w:val="21"/>
              </w:rPr>
            </w:pPr>
          </w:p>
        </w:tc>
        <w:tc>
          <w:tcPr>
            <w:tcW w:w="1081" w:type="dxa"/>
            <w:noWrap w:val="0"/>
            <w:vAlign w:val="top"/>
          </w:tcPr>
          <w:p w14:paraId="61C78E75">
            <w:pPr>
              <w:spacing w:line="440" w:lineRule="exact"/>
              <w:jc w:val="center"/>
              <w:rPr>
                <w:color w:val="auto"/>
                <w:szCs w:val="21"/>
              </w:rPr>
            </w:pPr>
          </w:p>
        </w:tc>
        <w:tc>
          <w:tcPr>
            <w:tcW w:w="719" w:type="dxa"/>
            <w:noWrap w:val="0"/>
            <w:vAlign w:val="top"/>
          </w:tcPr>
          <w:p w14:paraId="51DB0A14">
            <w:pPr>
              <w:spacing w:line="440" w:lineRule="exact"/>
              <w:jc w:val="center"/>
              <w:rPr>
                <w:color w:val="auto"/>
                <w:szCs w:val="21"/>
              </w:rPr>
            </w:pPr>
          </w:p>
        </w:tc>
        <w:tc>
          <w:tcPr>
            <w:tcW w:w="721" w:type="dxa"/>
            <w:noWrap w:val="0"/>
            <w:vAlign w:val="top"/>
          </w:tcPr>
          <w:p w14:paraId="1D285121">
            <w:pPr>
              <w:spacing w:line="440" w:lineRule="exact"/>
              <w:jc w:val="center"/>
              <w:rPr>
                <w:color w:val="auto"/>
                <w:szCs w:val="21"/>
              </w:rPr>
            </w:pPr>
          </w:p>
        </w:tc>
        <w:tc>
          <w:tcPr>
            <w:tcW w:w="719" w:type="dxa"/>
            <w:noWrap w:val="0"/>
            <w:vAlign w:val="top"/>
          </w:tcPr>
          <w:p w14:paraId="3EA54EE3">
            <w:pPr>
              <w:spacing w:line="440" w:lineRule="exact"/>
              <w:jc w:val="center"/>
              <w:rPr>
                <w:color w:val="auto"/>
                <w:szCs w:val="21"/>
              </w:rPr>
            </w:pPr>
          </w:p>
        </w:tc>
        <w:tc>
          <w:tcPr>
            <w:tcW w:w="2523" w:type="dxa"/>
            <w:noWrap w:val="0"/>
            <w:vAlign w:val="top"/>
          </w:tcPr>
          <w:p w14:paraId="326110D1">
            <w:pPr>
              <w:spacing w:line="440" w:lineRule="exact"/>
              <w:jc w:val="center"/>
              <w:rPr>
                <w:color w:val="auto"/>
                <w:szCs w:val="21"/>
              </w:rPr>
            </w:pPr>
          </w:p>
        </w:tc>
        <w:tc>
          <w:tcPr>
            <w:tcW w:w="672" w:type="dxa"/>
            <w:noWrap w:val="0"/>
            <w:vAlign w:val="top"/>
          </w:tcPr>
          <w:p w14:paraId="00E9D973">
            <w:pPr>
              <w:spacing w:line="440" w:lineRule="exact"/>
              <w:jc w:val="center"/>
              <w:rPr>
                <w:color w:val="auto"/>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rPr>
            </w:pPr>
          </w:p>
        </w:tc>
        <w:tc>
          <w:tcPr>
            <w:tcW w:w="721" w:type="dxa"/>
            <w:noWrap w:val="0"/>
            <w:vAlign w:val="top"/>
          </w:tcPr>
          <w:p w14:paraId="7203B54D">
            <w:pPr>
              <w:spacing w:line="440" w:lineRule="exact"/>
              <w:jc w:val="center"/>
              <w:rPr>
                <w:color w:val="auto"/>
                <w:szCs w:val="21"/>
              </w:rPr>
            </w:pPr>
          </w:p>
        </w:tc>
        <w:tc>
          <w:tcPr>
            <w:tcW w:w="719" w:type="dxa"/>
            <w:noWrap w:val="0"/>
            <w:vAlign w:val="top"/>
          </w:tcPr>
          <w:p w14:paraId="13C0D0E9">
            <w:pPr>
              <w:spacing w:line="440" w:lineRule="exact"/>
              <w:jc w:val="center"/>
              <w:rPr>
                <w:color w:val="auto"/>
                <w:szCs w:val="21"/>
              </w:rPr>
            </w:pPr>
          </w:p>
        </w:tc>
        <w:tc>
          <w:tcPr>
            <w:tcW w:w="1081" w:type="dxa"/>
            <w:noWrap w:val="0"/>
            <w:vAlign w:val="top"/>
          </w:tcPr>
          <w:p w14:paraId="6426C864">
            <w:pPr>
              <w:spacing w:line="440" w:lineRule="exact"/>
              <w:jc w:val="center"/>
              <w:rPr>
                <w:color w:val="auto"/>
                <w:szCs w:val="21"/>
              </w:rPr>
            </w:pPr>
          </w:p>
        </w:tc>
        <w:tc>
          <w:tcPr>
            <w:tcW w:w="719" w:type="dxa"/>
            <w:noWrap w:val="0"/>
            <w:vAlign w:val="top"/>
          </w:tcPr>
          <w:p w14:paraId="50B0922C">
            <w:pPr>
              <w:spacing w:line="440" w:lineRule="exact"/>
              <w:jc w:val="center"/>
              <w:rPr>
                <w:color w:val="auto"/>
                <w:szCs w:val="21"/>
              </w:rPr>
            </w:pPr>
          </w:p>
        </w:tc>
        <w:tc>
          <w:tcPr>
            <w:tcW w:w="721" w:type="dxa"/>
            <w:noWrap w:val="0"/>
            <w:vAlign w:val="top"/>
          </w:tcPr>
          <w:p w14:paraId="1E6B8447">
            <w:pPr>
              <w:spacing w:line="440" w:lineRule="exact"/>
              <w:jc w:val="center"/>
              <w:rPr>
                <w:color w:val="auto"/>
                <w:szCs w:val="21"/>
              </w:rPr>
            </w:pPr>
          </w:p>
        </w:tc>
        <w:tc>
          <w:tcPr>
            <w:tcW w:w="719" w:type="dxa"/>
            <w:noWrap w:val="0"/>
            <w:vAlign w:val="top"/>
          </w:tcPr>
          <w:p w14:paraId="0FB2D298">
            <w:pPr>
              <w:spacing w:line="440" w:lineRule="exact"/>
              <w:jc w:val="center"/>
              <w:rPr>
                <w:color w:val="auto"/>
                <w:szCs w:val="21"/>
              </w:rPr>
            </w:pPr>
          </w:p>
        </w:tc>
        <w:tc>
          <w:tcPr>
            <w:tcW w:w="2523" w:type="dxa"/>
            <w:noWrap w:val="0"/>
            <w:vAlign w:val="top"/>
          </w:tcPr>
          <w:p w14:paraId="51F13D47">
            <w:pPr>
              <w:spacing w:line="440" w:lineRule="exact"/>
              <w:jc w:val="center"/>
              <w:rPr>
                <w:color w:val="auto"/>
                <w:szCs w:val="21"/>
              </w:rPr>
            </w:pPr>
          </w:p>
        </w:tc>
        <w:tc>
          <w:tcPr>
            <w:tcW w:w="672" w:type="dxa"/>
            <w:noWrap w:val="0"/>
            <w:vAlign w:val="top"/>
          </w:tcPr>
          <w:p w14:paraId="1A728C44">
            <w:pPr>
              <w:spacing w:line="440" w:lineRule="exact"/>
              <w:jc w:val="center"/>
              <w:rPr>
                <w:color w:val="auto"/>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rPr>
            </w:pPr>
          </w:p>
        </w:tc>
        <w:tc>
          <w:tcPr>
            <w:tcW w:w="721" w:type="dxa"/>
            <w:noWrap w:val="0"/>
            <w:vAlign w:val="top"/>
          </w:tcPr>
          <w:p w14:paraId="3B8052BC">
            <w:pPr>
              <w:spacing w:line="440" w:lineRule="exact"/>
              <w:jc w:val="center"/>
              <w:rPr>
                <w:color w:val="auto"/>
                <w:szCs w:val="21"/>
              </w:rPr>
            </w:pPr>
          </w:p>
        </w:tc>
        <w:tc>
          <w:tcPr>
            <w:tcW w:w="719" w:type="dxa"/>
            <w:noWrap w:val="0"/>
            <w:vAlign w:val="top"/>
          </w:tcPr>
          <w:p w14:paraId="2FD79B04">
            <w:pPr>
              <w:spacing w:line="440" w:lineRule="exact"/>
              <w:jc w:val="center"/>
              <w:rPr>
                <w:color w:val="auto"/>
                <w:szCs w:val="21"/>
              </w:rPr>
            </w:pPr>
          </w:p>
        </w:tc>
        <w:tc>
          <w:tcPr>
            <w:tcW w:w="1081" w:type="dxa"/>
            <w:noWrap w:val="0"/>
            <w:vAlign w:val="top"/>
          </w:tcPr>
          <w:p w14:paraId="51BCE575">
            <w:pPr>
              <w:spacing w:line="440" w:lineRule="exact"/>
              <w:jc w:val="center"/>
              <w:rPr>
                <w:color w:val="auto"/>
                <w:szCs w:val="21"/>
              </w:rPr>
            </w:pPr>
          </w:p>
        </w:tc>
        <w:tc>
          <w:tcPr>
            <w:tcW w:w="719" w:type="dxa"/>
            <w:noWrap w:val="0"/>
            <w:vAlign w:val="top"/>
          </w:tcPr>
          <w:p w14:paraId="6764130F">
            <w:pPr>
              <w:spacing w:line="440" w:lineRule="exact"/>
              <w:jc w:val="center"/>
              <w:rPr>
                <w:color w:val="auto"/>
                <w:szCs w:val="21"/>
              </w:rPr>
            </w:pPr>
          </w:p>
        </w:tc>
        <w:tc>
          <w:tcPr>
            <w:tcW w:w="721" w:type="dxa"/>
            <w:noWrap w:val="0"/>
            <w:vAlign w:val="top"/>
          </w:tcPr>
          <w:p w14:paraId="479546C1">
            <w:pPr>
              <w:spacing w:line="440" w:lineRule="exact"/>
              <w:jc w:val="center"/>
              <w:rPr>
                <w:color w:val="auto"/>
                <w:szCs w:val="21"/>
              </w:rPr>
            </w:pPr>
          </w:p>
        </w:tc>
        <w:tc>
          <w:tcPr>
            <w:tcW w:w="719" w:type="dxa"/>
            <w:noWrap w:val="0"/>
            <w:vAlign w:val="top"/>
          </w:tcPr>
          <w:p w14:paraId="5A1880C4">
            <w:pPr>
              <w:spacing w:line="440" w:lineRule="exact"/>
              <w:jc w:val="center"/>
              <w:rPr>
                <w:color w:val="auto"/>
                <w:szCs w:val="21"/>
              </w:rPr>
            </w:pPr>
          </w:p>
        </w:tc>
        <w:tc>
          <w:tcPr>
            <w:tcW w:w="2523" w:type="dxa"/>
            <w:noWrap w:val="0"/>
            <w:vAlign w:val="top"/>
          </w:tcPr>
          <w:p w14:paraId="4D74D6C5">
            <w:pPr>
              <w:spacing w:line="440" w:lineRule="exact"/>
              <w:jc w:val="center"/>
              <w:rPr>
                <w:color w:val="auto"/>
                <w:szCs w:val="21"/>
              </w:rPr>
            </w:pPr>
          </w:p>
        </w:tc>
        <w:tc>
          <w:tcPr>
            <w:tcW w:w="672" w:type="dxa"/>
            <w:noWrap w:val="0"/>
            <w:vAlign w:val="top"/>
          </w:tcPr>
          <w:p w14:paraId="42031894">
            <w:pPr>
              <w:spacing w:line="440" w:lineRule="exact"/>
              <w:jc w:val="center"/>
              <w:rPr>
                <w:color w:val="auto"/>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rPr>
            </w:pPr>
          </w:p>
        </w:tc>
        <w:tc>
          <w:tcPr>
            <w:tcW w:w="721" w:type="dxa"/>
            <w:noWrap w:val="0"/>
            <w:vAlign w:val="top"/>
          </w:tcPr>
          <w:p w14:paraId="2A83033E">
            <w:pPr>
              <w:spacing w:line="440" w:lineRule="exact"/>
              <w:jc w:val="center"/>
              <w:rPr>
                <w:color w:val="auto"/>
                <w:szCs w:val="21"/>
              </w:rPr>
            </w:pPr>
          </w:p>
        </w:tc>
        <w:tc>
          <w:tcPr>
            <w:tcW w:w="719" w:type="dxa"/>
            <w:noWrap w:val="0"/>
            <w:vAlign w:val="top"/>
          </w:tcPr>
          <w:p w14:paraId="5E56942E">
            <w:pPr>
              <w:spacing w:line="440" w:lineRule="exact"/>
              <w:jc w:val="center"/>
              <w:rPr>
                <w:color w:val="auto"/>
                <w:szCs w:val="21"/>
              </w:rPr>
            </w:pPr>
          </w:p>
        </w:tc>
        <w:tc>
          <w:tcPr>
            <w:tcW w:w="1081" w:type="dxa"/>
            <w:noWrap w:val="0"/>
            <w:vAlign w:val="top"/>
          </w:tcPr>
          <w:p w14:paraId="136BB0A0">
            <w:pPr>
              <w:spacing w:line="440" w:lineRule="exact"/>
              <w:jc w:val="center"/>
              <w:rPr>
                <w:color w:val="auto"/>
                <w:szCs w:val="21"/>
              </w:rPr>
            </w:pPr>
          </w:p>
        </w:tc>
        <w:tc>
          <w:tcPr>
            <w:tcW w:w="719" w:type="dxa"/>
            <w:noWrap w:val="0"/>
            <w:vAlign w:val="top"/>
          </w:tcPr>
          <w:p w14:paraId="104DA540">
            <w:pPr>
              <w:spacing w:line="440" w:lineRule="exact"/>
              <w:jc w:val="center"/>
              <w:rPr>
                <w:color w:val="auto"/>
                <w:szCs w:val="21"/>
              </w:rPr>
            </w:pPr>
          </w:p>
        </w:tc>
        <w:tc>
          <w:tcPr>
            <w:tcW w:w="721" w:type="dxa"/>
            <w:noWrap w:val="0"/>
            <w:vAlign w:val="top"/>
          </w:tcPr>
          <w:p w14:paraId="43C2C945">
            <w:pPr>
              <w:spacing w:line="440" w:lineRule="exact"/>
              <w:jc w:val="center"/>
              <w:rPr>
                <w:color w:val="auto"/>
                <w:szCs w:val="21"/>
              </w:rPr>
            </w:pPr>
          </w:p>
        </w:tc>
        <w:tc>
          <w:tcPr>
            <w:tcW w:w="719" w:type="dxa"/>
            <w:noWrap w:val="0"/>
            <w:vAlign w:val="top"/>
          </w:tcPr>
          <w:p w14:paraId="2DEAEB11">
            <w:pPr>
              <w:spacing w:line="440" w:lineRule="exact"/>
              <w:jc w:val="center"/>
              <w:rPr>
                <w:color w:val="auto"/>
                <w:szCs w:val="21"/>
              </w:rPr>
            </w:pPr>
          </w:p>
        </w:tc>
        <w:tc>
          <w:tcPr>
            <w:tcW w:w="2523" w:type="dxa"/>
            <w:noWrap w:val="0"/>
            <w:vAlign w:val="top"/>
          </w:tcPr>
          <w:p w14:paraId="0910E6B6">
            <w:pPr>
              <w:spacing w:line="440" w:lineRule="exact"/>
              <w:jc w:val="center"/>
              <w:rPr>
                <w:color w:val="auto"/>
                <w:szCs w:val="21"/>
              </w:rPr>
            </w:pPr>
          </w:p>
        </w:tc>
        <w:tc>
          <w:tcPr>
            <w:tcW w:w="672" w:type="dxa"/>
            <w:noWrap w:val="0"/>
            <w:vAlign w:val="top"/>
          </w:tcPr>
          <w:p w14:paraId="430256FD">
            <w:pPr>
              <w:spacing w:line="440" w:lineRule="exact"/>
              <w:jc w:val="center"/>
              <w:rPr>
                <w:color w:val="auto"/>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rPr>
            </w:pPr>
          </w:p>
        </w:tc>
        <w:tc>
          <w:tcPr>
            <w:tcW w:w="721" w:type="dxa"/>
            <w:noWrap w:val="0"/>
            <w:vAlign w:val="top"/>
          </w:tcPr>
          <w:p w14:paraId="784AB411">
            <w:pPr>
              <w:spacing w:line="440" w:lineRule="exact"/>
              <w:jc w:val="center"/>
              <w:rPr>
                <w:color w:val="auto"/>
                <w:szCs w:val="21"/>
              </w:rPr>
            </w:pPr>
          </w:p>
        </w:tc>
        <w:tc>
          <w:tcPr>
            <w:tcW w:w="719" w:type="dxa"/>
            <w:noWrap w:val="0"/>
            <w:vAlign w:val="top"/>
          </w:tcPr>
          <w:p w14:paraId="0A3CA597">
            <w:pPr>
              <w:spacing w:line="440" w:lineRule="exact"/>
              <w:jc w:val="center"/>
              <w:rPr>
                <w:color w:val="auto"/>
                <w:szCs w:val="21"/>
              </w:rPr>
            </w:pPr>
          </w:p>
        </w:tc>
        <w:tc>
          <w:tcPr>
            <w:tcW w:w="1081" w:type="dxa"/>
            <w:noWrap w:val="0"/>
            <w:vAlign w:val="top"/>
          </w:tcPr>
          <w:p w14:paraId="1DABD5A4">
            <w:pPr>
              <w:spacing w:line="440" w:lineRule="exact"/>
              <w:jc w:val="center"/>
              <w:rPr>
                <w:color w:val="auto"/>
                <w:szCs w:val="21"/>
              </w:rPr>
            </w:pPr>
          </w:p>
        </w:tc>
        <w:tc>
          <w:tcPr>
            <w:tcW w:w="719" w:type="dxa"/>
            <w:noWrap w:val="0"/>
            <w:vAlign w:val="top"/>
          </w:tcPr>
          <w:p w14:paraId="5C3A3AB8">
            <w:pPr>
              <w:spacing w:line="440" w:lineRule="exact"/>
              <w:jc w:val="center"/>
              <w:rPr>
                <w:color w:val="auto"/>
                <w:szCs w:val="21"/>
              </w:rPr>
            </w:pPr>
          </w:p>
        </w:tc>
        <w:tc>
          <w:tcPr>
            <w:tcW w:w="721" w:type="dxa"/>
            <w:noWrap w:val="0"/>
            <w:vAlign w:val="top"/>
          </w:tcPr>
          <w:p w14:paraId="09B839C6">
            <w:pPr>
              <w:spacing w:line="440" w:lineRule="exact"/>
              <w:jc w:val="center"/>
              <w:rPr>
                <w:color w:val="auto"/>
                <w:szCs w:val="21"/>
              </w:rPr>
            </w:pPr>
          </w:p>
        </w:tc>
        <w:tc>
          <w:tcPr>
            <w:tcW w:w="719" w:type="dxa"/>
            <w:noWrap w:val="0"/>
            <w:vAlign w:val="top"/>
          </w:tcPr>
          <w:p w14:paraId="799BCF44">
            <w:pPr>
              <w:spacing w:line="440" w:lineRule="exact"/>
              <w:jc w:val="center"/>
              <w:rPr>
                <w:color w:val="auto"/>
                <w:szCs w:val="21"/>
              </w:rPr>
            </w:pPr>
          </w:p>
        </w:tc>
        <w:tc>
          <w:tcPr>
            <w:tcW w:w="2523" w:type="dxa"/>
            <w:noWrap w:val="0"/>
            <w:vAlign w:val="top"/>
          </w:tcPr>
          <w:p w14:paraId="02CC0626">
            <w:pPr>
              <w:spacing w:line="440" w:lineRule="exact"/>
              <w:jc w:val="center"/>
              <w:rPr>
                <w:color w:val="auto"/>
                <w:szCs w:val="21"/>
              </w:rPr>
            </w:pPr>
          </w:p>
        </w:tc>
        <w:tc>
          <w:tcPr>
            <w:tcW w:w="672" w:type="dxa"/>
            <w:noWrap w:val="0"/>
            <w:vAlign w:val="top"/>
          </w:tcPr>
          <w:p w14:paraId="63478FE2">
            <w:pPr>
              <w:spacing w:line="440" w:lineRule="exact"/>
              <w:jc w:val="center"/>
              <w:rPr>
                <w:color w:val="auto"/>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rPr>
            </w:pPr>
          </w:p>
        </w:tc>
        <w:tc>
          <w:tcPr>
            <w:tcW w:w="721" w:type="dxa"/>
            <w:noWrap w:val="0"/>
            <w:vAlign w:val="top"/>
          </w:tcPr>
          <w:p w14:paraId="3B9996AD">
            <w:pPr>
              <w:spacing w:line="440" w:lineRule="exact"/>
              <w:jc w:val="center"/>
              <w:rPr>
                <w:color w:val="auto"/>
                <w:szCs w:val="21"/>
              </w:rPr>
            </w:pPr>
          </w:p>
        </w:tc>
        <w:tc>
          <w:tcPr>
            <w:tcW w:w="719" w:type="dxa"/>
            <w:noWrap w:val="0"/>
            <w:vAlign w:val="top"/>
          </w:tcPr>
          <w:p w14:paraId="0B1A2367">
            <w:pPr>
              <w:spacing w:line="440" w:lineRule="exact"/>
              <w:jc w:val="center"/>
              <w:rPr>
                <w:color w:val="auto"/>
                <w:szCs w:val="21"/>
              </w:rPr>
            </w:pPr>
          </w:p>
        </w:tc>
        <w:tc>
          <w:tcPr>
            <w:tcW w:w="1081" w:type="dxa"/>
            <w:noWrap w:val="0"/>
            <w:vAlign w:val="top"/>
          </w:tcPr>
          <w:p w14:paraId="49DBAB84">
            <w:pPr>
              <w:spacing w:line="440" w:lineRule="exact"/>
              <w:jc w:val="center"/>
              <w:rPr>
                <w:color w:val="auto"/>
                <w:szCs w:val="21"/>
              </w:rPr>
            </w:pPr>
          </w:p>
        </w:tc>
        <w:tc>
          <w:tcPr>
            <w:tcW w:w="719" w:type="dxa"/>
            <w:noWrap w:val="0"/>
            <w:vAlign w:val="top"/>
          </w:tcPr>
          <w:p w14:paraId="5BE2D71A">
            <w:pPr>
              <w:spacing w:line="440" w:lineRule="exact"/>
              <w:jc w:val="center"/>
              <w:rPr>
                <w:color w:val="auto"/>
                <w:szCs w:val="21"/>
              </w:rPr>
            </w:pPr>
          </w:p>
        </w:tc>
        <w:tc>
          <w:tcPr>
            <w:tcW w:w="721" w:type="dxa"/>
            <w:noWrap w:val="0"/>
            <w:vAlign w:val="top"/>
          </w:tcPr>
          <w:p w14:paraId="4847CB4C">
            <w:pPr>
              <w:spacing w:line="440" w:lineRule="exact"/>
              <w:jc w:val="center"/>
              <w:rPr>
                <w:color w:val="auto"/>
                <w:szCs w:val="21"/>
              </w:rPr>
            </w:pPr>
          </w:p>
        </w:tc>
        <w:tc>
          <w:tcPr>
            <w:tcW w:w="719" w:type="dxa"/>
            <w:noWrap w:val="0"/>
            <w:vAlign w:val="top"/>
          </w:tcPr>
          <w:p w14:paraId="00620979">
            <w:pPr>
              <w:spacing w:line="440" w:lineRule="exact"/>
              <w:jc w:val="center"/>
              <w:rPr>
                <w:color w:val="auto"/>
                <w:szCs w:val="21"/>
              </w:rPr>
            </w:pPr>
          </w:p>
        </w:tc>
        <w:tc>
          <w:tcPr>
            <w:tcW w:w="2523" w:type="dxa"/>
            <w:noWrap w:val="0"/>
            <w:vAlign w:val="top"/>
          </w:tcPr>
          <w:p w14:paraId="0F992AD5">
            <w:pPr>
              <w:spacing w:line="440" w:lineRule="exact"/>
              <w:jc w:val="center"/>
              <w:rPr>
                <w:color w:val="auto"/>
                <w:szCs w:val="21"/>
              </w:rPr>
            </w:pPr>
          </w:p>
        </w:tc>
        <w:tc>
          <w:tcPr>
            <w:tcW w:w="672" w:type="dxa"/>
            <w:noWrap w:val="0"/>
            <w:vAlign w:val="top"/>
          </w:tcPr>
          <w:p w14:paraId="4EF03345">
            <w:pPr>
              <w:spacing w:line="440" w:lineRule="exact"/>
              <w:jc w:val="center"/>
              <w:rPr>
                <w:color w:val="auto"/>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rPr>
            </w:pPr>
          </w:p>
        </w:tc>
      </w:tr>
    </w:tbl>
    <w:p w14:paraId="1E1AA95D">
      <w:pPr>
        <w:topLinePunct/>
        <w:spacing w:line="440" w:lineRule="exact"/>
        <w:jc w:val="center"/>
        <w:rPr>
          <w:color w:val="auto"/>
          <w:sz w:val="20"/>
        </w:rPr>
      </w:pPr>
    </w:p>
    <w:p w14:paraId="29AFF0DB">
      <w:pPr>
        <w:topLinePunct/>
        <w:spacing w:line="440" w:lineRule="exact"/>
        <w:jc w:val="center"/>
        <w:rPr>
          <w:rFonts w:hint="eastAsia"/>
          <w:color w:val="auto"/>
          <w:sz w:val="20"/>
        </w:rPr>
      </w:pPr>
      <w:r>
        <w:rPr>
          <w:color w:val="auto"/>
          <w:sz w:val="20"/>
        </w:rPr>
        <w:br w:type="page"/>
      </w:r>
    </w:p>
    <w:p w14:paraId="059BBE22">
      <w:pPr>
        <w:pStyle w:val="4"/>
        <w:jc w:val="both"/>
        <w:rPr>
          <w:rFonts w:eastAsia="黑体"/>
          <w:color w:val="auto"/>
          <w:sz w:val="23"/>
          <w:szCs w:val="23"/>
        </w:rPr>
      </w:pPr>
      <w:bookmarkStart w:id="322" w:name="_Toc246997114"/>
      <w:bookmarkStart w:id="323" w:name="_Toc247085889"/>
      <w:bookmarkStart w:id="324" w:name="_Toc246996371"/>
      <w:bookmarkStart w:id="325" w:name="_Toc296602616"/>
      <w:r>
        <w:rPr>
          <w:color w:val="auto"/>
        </w:rPr>
        <w:t>（</w:t>
      </w:r>
      <w:r>
        <w:rPr>
          <w:rFonts w:hint="eastAsia"/>
          <w:color w:val="auto"/>
          <w:lang w:val="en-US" w:eastAsia="zh-CN"/>
        </w:rPr>
        <w:t>三</w:t>
      </w:r>
      <w:r>
        <w:rPr>
          <w:color w:val="auto"/>
        </w:rPr>
        <w:t>）</w:t>
      </w:r>
      <w:r>
        <w:rPr>
          <w:rFonts w:hint="eastAsia"/>
          <w:color w:val="auto"/>
          <w:lang w:eastAsia="zh-CN"/>
        </w:rPr>
        <w:t>项目负责人</w:t>
      </w:r>
      <w:r>
        <w:rPr>
          <w:color w:val="auto"/>
        </w:rPr>
        <w:t>简历表</w:t>
      </w:r>
      <w:bookmarkEnd w:id="322"/>
      <w:bookmarkEnd w:id="323"/>
      <w:bookmarkEnd w:id="324"/>
      <w:bookmarkEnd w:id="325"/>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rPr>
            </w:pPr>
            <w:r>
              <w:rPr>
                <w:rFonts w:ascii="宋体" w:hAnsi="宋体"/>
                <w:color w:val="auto"/>
                <w:szCs w:val="21"/>
              </w:rPr>
              <w:t>姓  名</w:t>
            </w:r>
          </w:p>
        </w:tc>
        <w:tc>
          <w:tcPr>
            <w:tcW w:w="1079" w:type="dxa"/>
            <w:gridSpan w:val="2"/>
            <w:noWrap w:val="0"/>
            <w:vAlign w:val="center"/>
          </w:tcPr>
          <w:p w14:paraId="70A26EA4">
            <w:pPr>
              <w:spacing w:line="440" w:lineRule="exact"/>
              <w:jc w:val="center"/>
              <w:rPr>
                <w:rFonts w:ascii="宋体" w:hAnsi="宋体"/>
                <w:color w:val="auto"/>
                <w:szCs w:val="21"/>
              </w:rPr>
            </w:pPr>
          </w:p>
        </w:tc>
        <w:tc>
          <w:tcPr>
            <w:tcW w:w="927" w:type="dxa"/>
            <w:noWrap w:val="0"/>
            <w:vAlign w:val="center"/>
          </w:tcPr>
          <w:p w14:paraId="74547CA6">
            <w:pPr>
              <w:spacing w:line="440" w:lineRule="exact"/>
              <w:jc w:val="center"/>
              <w:rPr>
                <w:rFonts w:ascii="宋体" w:hAnsi="宋体"/>
                <w:color w:val="auto"/>
                <w:szCs w:val="21"/>
              </w:rPr>
            </w:pPr>
            <w:r>
              <w:rPr>
                <w:rFonts w:ascii="宋体" w:hAnsi="宋体"/>
                <w:color w:val="auto"/>
                <w:szCs w:val="21"/>
              </w:rPr>
              <w:t>年 龄</w:t>
            </w:r>
          </w:p>
        </w:tc>
        <w:tc>
          <w:tcPr>
            <w:tcW w:w="1065" w:type="dxa"/>
            <w:noWrap w:val="0"/>
            <w:vAlign w:val="center"/>
          </w:tcPr>
          <w:p w14:paraId="61FAEA73">
            <w:pPr>
              <w:spacing w:line="440" w:lineRule="exact"/>
              <w:jc w:val="center"/>
              <w:rPr>
                <w:rFonts w:ascii="宋体" w:hAnsi="宋体"/>
                <w:color w:val="auto"/>
                <w:szCs w:val="21"/>
              </w:rPr>
            </w:pPr>
          </w:p>
        </w:tc>
        <w:tc>
          <w:tcPr>
            <w:tcW w:w="2130" w:type="dxa"/>
            <w:gridSpan w:val="3"/>
            <w:noWrap w:val="0"/>
            <w:vAlign w:val="center"/>
          </w:tcPr>
          <w:p w14:paraId="2C3E98D4">
            <w:pPr>
              <w:spacing w:line="440" w:lineRule="exact"/>
              <w:jc w:val="center"/>
              <w:rPr>
                <w:rFonts w:ascii="宋体" w:hAnsi="宋体"/>
                <w:color w:val="auto"/>
                <w:szCs w:val="21"/>
              </w:rPr>
            </w:pPr>
            <w:r>
              <w:rPr>
                <w:rFonts w:ascii="宋体" w:hAnsi="宋体"/>
                <w:color w:val="auto"/>
                <w:szCs w:val="21"/>
              </w:rPr>
              <w:t>学历</w:t>
            </w:r>
          </w:p>
        </w:tc>
        <w:tc>
          <w:tcPr>
            <w:tcW w:w="2135" w:type="dxa"/>
            <w:noWrap w:val="0"/>
            <w:vAlign w:val="center"/>
          </w:tcPr>
          <w:p w14:paraId="4772E47A">
            <w:pPr>
              <w:spacing w:line="440" w:lineRule="exact"/>
              <w:rPr>
                <w:rFonts w:ascii="宋体" w:hAnsi="宋体"/>
                <w:color w:val="auto"/>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rPr>
            </w:pPr>
            <w:r>
              <w:rPr>
                <w:rFonts w:ascii="宋体" w:hAnsi="宋体"/>
                <w:color w:val="auto"/>
                <w:szCs w:val="21"/>
              </w:rPr>
              <w:t>职  称</w:t>
            </w:r>
          </w:p>
        </w:tc>
        <w:tc>
          <w:tcPr>
            <w:tcW w:w="1079" w:type="dxa"/>
            <w:gridSpan w:val="2"/>
            <w:noWrap w:val="0"/>
            <w:vAlign w:val="center"/>
          </w:tcPr>
          <w:p w14:paraId="699E5B74">
            <w:pPr>
              <w:spacing w:line="440" w:lineRule="exact"/>
              <w:jc w:val="center"/>
              <w:rPr>
                <w:rFonts w:ascii="宋体" w:hAnsi="宋体"/>
                <w:color w:val="auto"/>
                <w:szCs w:val="21"/>
              </w:rPr>
            </w:pPr>
          </w:p>
        </w:tc>
        <w:tc>
          <w:tcPr>
            <w:tcW w:w="927" w:type="dxa"/>
            <w:noWrap w:val="0"/>
            <w:vAlign w:val="center"/>
          </w:tcPr>
          <w:p w14:paraId="3E8F115B">
            <w:pPr>
              <w:spacing w:line="440" w:lineRule="exact"/>
              <w:jc w:val="center"/>
              <w:rPr>
                <w:rFonts w:ascii="宋体" w:hAnsi="宋体"/>
                <w:color w:val="auto"/>
                <w:szCs w:val="21"/>
              </w:rPr>
            </w:pPr>
            <w:r>
              <w:rPr>
                <w:rFonts w:ascii="宋体" w:hAnsi="宋体"/>
                <w:color w:val="auto"/>
                <w:szCs w:val="21"/>
              </w:rPr>
              <w:t>职 务</w:t>
            </w:r>
          </w:p>
        </w:tc>
        <w:tc>
          <w:tcPr>
            <w:tcW w:w="1065" w:type="dxa"/>
            <w:noWrap w:val="0"/>
            <w:vAlign w:val="center"/>
          </w:tcPr>
          <w:p w14:paraId="55937A42">
            <w:pPr>
              <w:spacing w:line="440" w:lineRule="exact"/>
              <w:jc w:val="center"/>
              <w:rPr>
                <w:rFonts w:ascii="宋体" w:hAnsi="宋体"/>
                <w:color w:val="auto"/>
                <w:szCs w:val="21"/>
              </w:rPr>
            </w:pPr>
          </w:p>
        </w:tc>
        <w:tc>
          <w:tcPr>
            <w:tcW w:w="2130" w:type="dxa"/>
            <w:gridSpan w:val="3"/>
            <w:noWrap w:val="0"/>
            <w:vAlign w:val="center"/>
          </w:tcPr>
          <w:p w14:paraId="6673772B">
            <w:pPr>
              <w:spacing w:line="440" w:lineRule="exact"/>
              <w:jc w:val="center"/>
              <w:rPr>
                <w:rFonts w:ascii="宋体" w:hAnsi="宋体"/>
                <w:color w:val="auto"/>
                <w:szCs w:val="21"/>
              </w:rPr>
            </w:pPr>
            <w:r>
              <w:rPr>
                <w:rFonts w:ascii="宋体" w:hAnsi="宋体"/>
                <w:color w:val="auto"/>
                <w:szCs w:val="21"/>
              </w:rPr>
              <w:t>拟在本合同任职</w:t>
            </w:r>
          </w:p>
        </w:tc>
        <w:tc>
          <w:tcPr>
            <w:tcW w:w="2135" w:type="dxa"/>
            <w:noWrap w:val="0"/>
            <w:vAlign w:val="center"/>
          </w:tcPr>
          <w:p w14:paraId="44576179">
            <w:pPr>
              <w:spacing w:line="440" w:lineRule="exact"/>
              <w:rPr>
                <w:rFonts w:ascii="宋体" w:hAnsi="宋体"/>
                <w:color w:val="auto"/>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rPr>
            </w:pPr>
            <w:r>
              <w:rPr>
                <w:rFonts w:ascii="宋体" w:hAnsi="宋体"/>
                <w:color w:val="auto"/>
                <w:szCs w:val="21"/>
              </w:rPr>
              <w:t>毕业学校</w:t>
            </w:r>
          </w:p>
        </w:tc>
        <w:tc>
          <w:tcPr>
            <w:tcW w:w="7336" w:type="dxa"/>
            <w:gridSpan w:val="8"/>
            <w:noWrap w:val="0"/>
            <w:vAlign w:val="top"/>
          </w:tcPr>
          <w:p w14:paraId="76E5F476">
            <w:pPr>
              <w:spacing w:line="440" w:lineRule="exact"/>
              <w:rPr>
                <w:rFonts w:ascii="宋体" w:hAnsi="宋体"/>
                <w:color w:val="auto"/>
                <w:szCs w:val="21"/>
              </w:rPr>
            </w:pPr>
            <w:r>
              <w:rPr>
                <w:rFonts w:ascii="宋体" w:hAnsi="宋体"/>
                <w:color w:val="auto"/>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rPr>
            </w:pPr>
            <w:r>
              <w:rPr>
                <w:rFonts w:ascii="宋体" w:hAnsi="宋体"/>
                <w:color w:val="auto"/>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rPr>
            </w:pPr>
            <w:r>
              <w:rPr>
                <w:rFonts w:ascii="宋体" w:hAnsi="宋体"/>
                <w:color w:val="auto"/>
                <w:szCs w:val="21"/>
              </w:rPr>
              <w:t>时  间</w:t>
            </w:r>
          </w:p>
        </w:tc>
        <w:tc>
          <w:tcPr>
            <w:tcW w:w="3420" w:type="dxa"/>
            <w:gridSpan w:val="4"/>
            <w:noWrap w:val="0"/>
            <w:vAlign w:val="center"/>
          </w:tcPr>
          <w:p w14:paraId="338357BC">
            <w:pPr>
              <w:spacing w:line="440" w:lineRule="exact"/>
              <w:rPr>
                <w:rFonts w:ascii="宋体" w:hAnsi="宋体"/>
                <w:color w:val="auto"/>
                <w:szCs w:val="21"/>
              </w:rPr>
            </w:pPr>
            <w:r>
              <w:rPr>
                <w:rFonts w:ascii="宋体" w:hAnsi="宋体"/>
                <w:color w:val="auto"/>
                <w:szCs w:val="21"/>
              </w:rPr>
              <w:t>参加过的类似项目</w:t>
            </w:r>
          </w:p>
        </w:tc>
        <w:tc>
          <w:tcPr>
            <w:tcW w:w="1261" w:type="dxa"/>
            <w:noWrap w:val="0"/>
            <w:vAlign w:val="center"/>
          </w:tcPr>
          <w:p w14:paraId="7C747C4E">
            <w:pPr>
              <w:spacing w:line="440" w:lineRule="exact"/>
              <w:rPr>
                <w:rFonts w:ascii="宋体" w:hAnsi="宋体"/>
                <w:color w:val="auto"/>
                <w:szCs w:val="21"/>
              </w:rPr>
            </w:pPr>
            <w:r>
              <w:rPr>
                <w:rFonts w:ascii="宋体" w:hAnsi="宋体"/>
                <w:color w:val="auto"/>
                <w:szCs w:val="21"/>
              </w:rPr>
              <w:t>担任职务</w:t>
            </w:r>
          </w:p>
        </w:tc>
        <w:tc>
          <w:tcPr>
            <w:tcW w:w="2296" w:type="dxa"/>
            <w:gridSpan w:val="2"/>
            <w:noWrap w:val="0"/>
            <w:vAlign w:val="center"/>
          </w:tcPr>
          <w:p w14:paraId="0DAF4A6F">
            <w:pPr>
              <w:spacing w:line="440" w:lineRule="exact"/>
              <w:rPr>
                <w:rFonts w:ascii="宋体" w:hAnsi="宋体"/>
                <w:color w:val="auto"/>
                <w:szCs w:val="21"/>
              </w:rPr>
            </w:pPr>
            <w:r>
              <w:rPr>
                <w:rFonts w:hint="eastAsia" w:ascii="宋体" w:hAnsi="宋体"/>
                <w:color w:val="auto"/>
                <w:szCs w:val="21"/>
                <w:lang w:eastAsia="zh-CN"/>
              </w:rPr>
              <w:t>采购人</w:t>
            </w:r>
            <w:r>
              <w:rPr>
                <w:rFonts w:ascii="宋体" w:hAnsi="宋体"/>
                <w:color w:val="auto"/>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rPr>
            </w:pPr>
          </w:p>
        </w:tc>
        <w:tc>
          <w:tcPr>
            <w:tcW w:w="3420" w:type="dxa"/>
            <w:gridSpan w:val="4"/>
            <w:noWrap w:val="0"/>
            <w:vAlign w:val="top"/>
          </w:tcPr>
          <w:p w14:paraId="04FC976B">
            <w:pPr>
              <w:spacing w:line="440" w:lineRule="exact"/>
              <w:rPr>
                <w:rFonts w:eastAsia="黑体"/>
                <w:color w:val="auto"/>
                <w:szCs w:val="21"/>
              </w:rPr>
            </w:pPr>
          </w:p>
        </w:tc>
        <w:tc>
          <w:tcPr>
            <w:tcW w:w="1261" w:type="dxa"/>
            <w:noWrap w:val="0"/>
            <w:vAlign w:val="top"/>
          </w:tcPr>
          <w:p w14:paraId="2F4F10C7">
            <w:pPr>
              <w:spacing w:line="440" w:lineRule="exact"/>
              <w:rPr>
                <w:rFonts w:eastAsia="黑体"/>
                <w:color w:val="auto"/>
                <w:szCs w:val="21"/>
              </w:rPr>
            </w:pPr>
          </w:p>
        </w:tc>
        <w:tc>
          <w:tcPr>
            <w:tcW w:w="2296" w:type="dxa"/>
            <w:gridSpan w:val="2"/>
            <w:noWrap w:val="0"/>
            <w:vAlign w:val="top"/>
          </w:tcPr>
          <w:p w14:paraId="1D8D1292">
            <w:pPr>
              <w:spacing w:line="440" w:lineRule="exact"/>
              <w:rPr>
                <w:rFonts w:eastAsia="黑体"/>
                <w:color w:val="auto"/>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rPr>
            </w:pPr>
          </w:p>
        </w:tc>
        <w:tc>
          <w:tcPr>
            <w:tcW w:w="3420" w:type="dxa"/>
            <w:gridSpan w:val="4"/>
            <w:noWrap w:val="0"/>
            <w:vAlign w:val="top"/>
          </w:tcPr>
          <w:p w14:paraId="4B6C2132">
            <w:pPr>
              <w:spacing w:line="440" w:lineRule="exact"/>
              <w:rPr>
                <w:rFonts w:eastAsia="黑体"/>
                <w:color w:val="auto"/>
                <w:szCs w:val="21"/>
              </w:rPr>
            </w:pPr>
          </w:p>
        </w:tc>
        <w:tc>
          <w:tcPr>
            <w:tcW w:w="1261" w:type="dxa"/>
            <w:noWrap w:val="0"/>
            <w:vAlign w:val="top"/>
          </w:tcPr>
          <w:p w14:paraId="0B3875E2">
            <w:pPr>
              <w:spacing w:line="440" w:lineRule="exact"/>
              <w:rPr>
                <w:rFonts w:eastAsia="黑体"/>
                <w:color w:val="auto"/>
                <w:szCs w:val="21"/>
              </w:rPr>
            </w:pPr>
          </w:p>
        </w:tc>
        <w:tc>
          <w:tcPr>
            <w:tcW w:w="2296" w:type="dxa"/>
            <w:gridSpan w:val="2"/>
            <w:noWrap w:val="0"/>
            <w:vAlign w:val="top"/>
          </w:tcPr>
          <w:p w14:paraId="251FC4EA">
            <w:pPr>
              <w:spacing w:line="440" w:lineRule="exact"/>
              <w:rPr>
                <w:rFonts w:eastAsia="黑体"/>
                <w:color w:val="auto"/>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rPr>
            </w:pPr>
          </w:p>
        </w:tc>
        <w:tc>
          <w:tcPr>
            <w:tcW w:w="3420" w:type="dxa"/>
            <w:gridSpan w:val="4"/>
            <w:noWrap w:val="0"/>
            <w:vAlign w:val="top"/>
          </w:tcPr>
          <w:p w14:paraId="7961B908">
            <w:pPr>
              <w:spacing w:line="440" w:lineRule="exact"/>
              <w:rPr>
                <w:rFonts w:eastAsia="黑体"/>
                <w:color w:val="auto"/>
                <w:szCs w:val="21"/>
              </w:rPr>
            </w:pPr>
          </w:p>
        </w:tc>
        <w:tc>
          <w:tcPr>
            <w:tcW w:w="1261" w:type="dxa"/>
            <w:noWrap w:val="0"/>
            <w:vAlign w:val="top"/>
          </w:tcPr>
          <w:p w14:paraId="251A18DF">
            <w:pPr>
              <w:spacing w:line="440" w:lineRule="exact"/>
              <w:rPr>
                <w:rFonts w:eastAsia="黑体"/>
                <w:color w:val="auto"/>
                <w:szCs w:val="21"/>
              </w:rPr>
            </w:pPr>
          </w:p>
        </w:tc>
        <w:tc>
          <w:tcPr>
            <w:tcW w:w="2296" w:type="dxa"/>
            <w:gridSpan w:val="2"/>
            <w:noWrap w:val="0"/>
            <w:vAlign w:val="top"/>
          </w:tcPr>
          <w:p w14:paraId="5AABAF49">
            <w:pPr>
              <w:spacing w:line="440" w:lineRule="exact"/>
              <w:rPr>
                <w:rFonts w:eastAsia="黑体"/>
                <w:color w:val="auto"/>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rPr>
            </w:pPr>
          </w:p>
        </w:tc>
        <w:tc>
          <w:tcPr>
            <w:tcW w:w="3420" w:type="dxa"/>
            <w:gridSpan w:val="4"/>
            <w:noWrap w:val="0"/>
            <w:vAlign w:val="top"/>
          </w:tcPr>
          <w:p w14:paraId="035E1759">
            <w:pPr>
              <w:spacing w:line="440" w:lineRule="exact"/>
              <w:rPr>
                <w:rFonts w:eastAsia="黑体"/>
                <w:color w:val="auto"/>
                <w:szCs w:val="21"/>
              </w:rPr>
            </w:pPr>
          </w:p>
        </w:tc>
        <w:tc>
          <w:tcPr>
            <w:tcW w:w="1261" w:type="dxa"/>
            <w:noWrap w:val="0"/>
            <w:vAlign w:val="top"/>
          </w:tcPr>
          <w:p w14:paraId="5DE7479C">
            <w:pPr>
              <w:spacing w:line="440" w:lineRule="exact"/>
              <w:rPr>
                <w:rFonts w:eastAsia="黑体"/>
                <w:color w:val="auto"/>
                <w:szCs w:val="21"/>
              </w:rPr>
            </w:pPr>
          </w:p>
        </w:tc>
        <w:tc>
          <w:tcPr>
            <w:tcW w:w="2296" w:type="dxa"/>
            <w:gridSpan w:val="2"/>
            <w:noWrap w:val="0"/>
            <w:vAlign w:val="top"/>
          </w:tcPr>
          <w:p w14:paraId="264D02D1">
            <w:pPr>
              <w:spacing w:line="440" w:lineRule="exact"/>
              <w:rPr>
                <w:rFonts w:eastAsia="黑体"/>
                <w:color w:val="auto"/>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rPr>
            </w:pPr>
          </w:p>
        </w:tc>
        <w:tc>
          <w:tcPr>
            <w:tcW w:w="3420" w:type="dxa"/>
            <w:gridSpan w:val="4"/>
            <w:noWrap w:val="0"/>
            <w:vAlign w:val="top"/>
          </w:tcPr>
          <w:p w14:paraId="2F8A7D91">
            <w:pPr>
              <w:spacing w:line="440" w:lineRule="exact"/>
              <w:rPr>
                <w:rFonts w:eastAsia="黑体"/>
                <w:color w:val="auto"/>
                <w:szCs w:val="21"/>
              </w:rPr>
            </w:pPr>
          </w:p>
        </w:tc>
        <w:tc>
          <w:tcPr>
            <w:tcW w:w="1261" w:type="dxa"/>
            <w:noWrap w:val="0"/>
            <w:vAlign w:val="top"/>
          </w:tcPr>
          <w:p w14:paraId="2375B544">
            <w:pPr>
              <w:spacing w:line="440" w:lineRule="exact"/>
              <w:rPr>
                <w:rFonts w:eastAsia="黑体"/>
                <w:color w:val="auto"/>
                <w:szCs w:val="21"/>
              </w:rPr>
            </w:pPr>
          </w:p>
        </w:tc>
        <w:tc>
          <w:tcPr>
            <w:tcW w:w="2296" w:type="dxa"/>
            <w:gridSpan w:val="2"/>
            <w:noWrap w:val="0"/>
            <w:vAlign w:val="top"/>
          </w:tcPr>
          <w:p w14:paraId="28FCC5A7">
            <w:pPr>
              <w:spacing w:line="440" w:lineRule="exact"/>
              <w:rPr>
                <w:rFonts w:eastAsia="黑体"/>
                <w:color w:val="auto"/>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rPr>
            </w:pPr>
          </w:p>
        </w:tc>
        <w:tc>
          <w:tcPr>
            <w:tcW w:w="3420" w:type="dxa"/>
            <w:gridSpan w:val="4"/>
            <w:noWrap w:val="0"/>
            <w:vAlign w:val="top"/>
          </w:tcPr>
          <w:p w14:paraId="24694B8F">
            <w:pPr>
              <w:spacing w:line="440" w:lineRule="exact"/>
              <w:rPr>
                <w:rFonts w:eastAsia="黑体"/>
                <w:color w:val="auto"/>
                <w:szCs w:val="21"/>
              </w:rPr>
            </w:pPr>
          </w:p>
        </w:tc>
        <w:tc>
          <w:tcPr>
            <w:tcW w:w="1261" w:type="dxa"/>
            <w:noWrap w:val="0"/>
            <w:vAlign w:val="top"/>
          </w:tcPr>
          <w:p w14:paraId="377C436C">
            <w:pPr>
              <w:spacing w:line="440" w:lineRule="exact"/>
              <w:rPr>
                <w:rFonts w:eastAsia="黑体"/>
                <w:color w:val="auto"/>
                <w:szCs w:val="21"/>
              </w:rPr>
            </w:pPr>
          </w:p>
        </w:tc>
        <w:tc>
          <w:tcPr>
            <w:tcW w:w="2296" w:type="dxa"/>
            <w:gridSpan w:val="2"/>
            <w:noWrap w:val="0"/>
            <w:vAlign w:val="top"/>
          </w:tcPr>
          <w:p w14:paraId="624C0B0F">
            <w:pPr>
              <w:spacing w:line="440" w:lineRule="exact"/>
              <w:rPr>
                <w:rFonts w:eastAsia="黑体"/>
                <w:color w:val="auto"/>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rPr>
            </w:pPr>
          </w:p>
        </w:tc>
        <w:tc>
          <w:tcPr>
            <w:tcW w:w="3420" w:type="dxa"/>
            <w:gridSpan w:val="4"/>
            <w:noWrap w:val="0"/>
            <w:vAlign w:val="top"/>
          </w:tcPr>
          <w:p w14:paraId="660F94F1">
            <w:pPr>
              <w:spacing w:line="440" w:lineRule="exact"/>
              <w:rPr>
                <w:rFonts w:eastAsia="黑体"/>
                <w:color w:val="auto"/>
                <w:szCs w:val="21"/>
              </w:rPr>
            </w:pPr>
          </w:p>
        </w:tc>
        <w:tc>
          <w:tcPr>
            <w:tcW w:w="1261" w:type="dxa"/>
            <w:noWrap w:val="0"/>
            <w:vAlign w:val="top"/>
          </w:tcPr>
          <w:p w14:paraId="041E3575">
            <w:pPr>
              <w:spacing w:line="440" w:lineRule="exact"/>
              <w:rPr>
                <w:rFonts w:eastAsia="黑体"/>
                <w:color w:val="auto"/>
                <w:szCs w:val="21"/>
              </w:rPr>
            </w:pPr>
          </w:p>
        </w:tc>
        <w:tc>
          <w:tcPr>
            <w:tcW w:w="2296" w:type="dxa"/>
            <w:gridSpan w:val="2"/>
            <w:noWrap w:val="0"/>
            <w:vAlign w:val="top"/>
          </w:tcPr>
          <w:p w14:paraId="22A97CFD">
            <w:pPr>
              <w:spacing w:line="440" w:lineRule="exact"/>
              <w:rPr>
                <w:rFonts w:eastAsia="黑体"/>
                <w:color w:val="auto"/>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rPr>
            </w:pPr>
          </w:p>
        </w:tc>
        <w:tc>
          <w:tcPr>
            <w:tcW w:w="3420" w:type="dxa"/>
            <w:gridSpan w:val="4"/>
            <w:noWrap w:val="0"/>
            <w:vAlign w:val="top"/>
          </w:tcPr>
          <w:p w14:paraId="71573D80">
            <w:pPr>
              <w:spacing w:line="440" w:lineRule="exact"/>
              <w:rPr>
                <w:rFonts w:eastAsia="黑体"/>
                <w:color w:val="auto"/>
                <w:szCs w:val="21"/>
              </w:rPr>
            </w:pPr>
          </w:p>
        </w:tc>
        <w:tc>
          <w:tcPr>
            <w:tcW w:w="1261" w:type="dxa"/>
            <w:noWrap w:val="0"/>
            <w:vAlign w:val="top"/>
          </w:tcPr>
          <w:p w14:paraId="29F760A4">
            <w:pPr>
              <w:spacing w:line="440" w:lineRule="exact"/>
              <w:rPr>
                <w:rFonts w:eastAsia="黑体"/>
                <w:color w:val="auto"/>
                <w:szCs w:val="21"/>
              </w:rPr>
            </w:pPr>
          </w:p>
        </w:tc>
        <w:tc>
          <w:tcPr>
            <w:tcW w:w="2296" w:type="dxa"/>
            <w:gridSpan w:val="2"/>
            <w:noWrap w:val="0"/>
            <w:vAlign w:val="top"/>
          </w:tcPr>
          <w:p w14:paraId="1751449B">
            <w:pPr>
              <w:spacing w:line="440" w:lineRule="exact"/>
              <w:rPr>
                <w:rFonts w:eastAsia="黑体"/>
                <w:color w:val="auto"/>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rPr>
            </w:pPr>
          </w:p>
        </w:tc>
        <w:tc>
          <w:tcPr>
            <w:tcW w:w="3420" w:type="dxa"/>
            <w:gridSpan w:val="4"/>
            <w:noWrap w:val="0"/>
            <w:vAlign w:val="top"/>
          </w:tcPr>
          <w:p w14:paraId="62272BE5">
            <w:pPr>
              <w:spacing w:line="440" w:lineRule="exact"/>
              <w:rPr>
                <w:rFonts w:eastAsia="黑体"/>
                <w:color w:val="auto"/>
                <w:szCs w:val="21"/>
              </w:rPr>
            </w:pPr>
          </w:p>
        </w:tc>
        <w:tc>
          <w:tcPr>
            <w:tcW w:w="1261" w:type="dxa"/>
            <w:noWrap w:val="0"/>
            <w:vAlign w:val="top"/>
          </w:tcPr>
          <w:p w14:paraId="49683253">
            <w:pPr>
              <w:spacing w:line="440" w:lineRule="exact"/>
              <w:rPr>
                <w:rFonts w:eastAsia="黑体"/>
                <w:color w:val="auto"/>
                <w:szCs w:val="21"/>
              </w:rPr>
            </w:pPr>
          </w:p>
        </w:tc>
        <w:tc>
          <w:tcPr>
            <w:tcW w:w="2296" w:type="dxa"/>
            <w:gridSpan w:val="2"/>
            <w:noWrap w:val="0"/>
            <w:vAlign w:val="top"/>
          </w:tcPr>
          <w:p w14:paraId="0A137F02">
            <w:pPr>
              <w:spacing w:line="440" w:lineRule="exact"/>
              <w:rPr>
                <w:rFonts w:eastAsia="黑体"/>
                <w:color w:val="auto"/>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rPr>
            </w:pPr>
          </w:p>
        </w:tc>
        <w:tc>
          <w:tcPr>
            <w:tcW w:w="3420" w:type="dxa"/>
            <w:gridSpan w:val="4"/>
            <w:noWrap w:val="0"/>
            <w:vAlign w:val="top"/>
          </w:tcPr>
          <w:p w14:paraId="0C92D8EB">
            <w:pPr>
              <w:spacing w:line="440" w:lineRule="exact"/>
              <w:rPr>
                <w:rFonts w:eastAsia="黑体"/>
                <w:color w:val="auto"/>
                <w:szCs w:val="21"/>
              </w:rPr>
            </w:pPr>
          </w:p>
        </w:tc>
        <w:tc>
          <w:tcPr>
            <w:tcW w:w="1261" w:type="dxa"/>
            <w:noWrap w:val="0"/>
            <w:vAlign w:val="top"/>
          </w:tcPr>
          <w:p w14:paraId="212C683A">
            <w:pPr>
              <w:spacing w:line="440" w:lineRule="exact"/>
              <w:rPr>
                <w:rFonts w:eastAsia="黑体"/>
                <w:color w:val="auto"/>
                <w:szCs w:val="21"/>
              </w:rPr>
            </w:pPr>
          </w:p>
        </w:tc>
        <w:tc>
          <w:tcPr>
            <w:tcW w:w="2296" w:type="dxa"/>
            <w:gridSpan w:val="2"/>
            <w:noWrap w:val="0"/>
            <w:vAlign w:val="top"/>
          </w:tcPr>
          <w:p w14:paraId="787D2B5F">
            <w:pPr>
              <w:spacing w:line="440" w:lineRule="exact"/>
              <w:rPr>
                <w:rFonts w:eastAsia="黑体"/>
                <w:color w:val="auto"/>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rPr>
            </w:pPr>
          </w:p>
        </w:tc>
        <w:tc>
          <w:tcPr>
            <w:tcW w:w="3420" w:type="dxa"/>
            <w:gridSpan w:val="4"/>
            <w:noWrap w:val="0"/>
            <w:vAlign w:val="top"/>
          </w:tcPr>
          <w:p w14:paraId="376A7D2C">
            <w:pPr>
              <w:spacing w:line="440" w:lineRule="exact"/>
              <w:rPr>
                <w:rFonts w:eastAsia="黑体"/>
                <w:color w:val="auto"/>
                <w:szCs w:val="21"/>
              </w:rPr>
            </w:pPr>
          </w:p>
        </w:tc>
        <w:tc>
          <w:tcPr>
            <w:tcW w:w="1261" w:type="dxa"/>
            <w:noWrap w:val="0"/>
            <w:vAlign w:val="top"/>
          </w:tcPr>
          <w:p w14:paraId="3DA4512C">
            <w:pPr>
              <w:spacing w:line="440" w:lineRule="exact"/>
              <w:rPr>
                <w:rFonts w:eastAsia="黑体"/>
                <w:color w:val="auto"/>
                <w:szCs w:val="21"/>
              </w:rPr>
            </w:pPr>
          </w:p>
        </w:tc>
        <w:tc>
          <w:tcPr>
            <w:tcW w:w="2296" w:type="dxa"/>
            <w:gridSpan w:val="2"/>
            <w:noWrap w:val="0"/>
            <w:vAlign w:val="top"/>
          </w:tcPr>
          <w:p w14:paraId="1940259C">
            <w:pPr>
              <w:spacing w:line="440" w:lineRule="exact"/>
              <w:rPr>
                <w:rFonts w:eastAsia="黑体"/>
                <w:color w:val="auto"/>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rPr>
            </w:pPr>
          </w:p>
        </w:tc>
        <w:tc>
          <w:tcPr>
            <w:tcW w:w="3420" w:type="dxa"/>
            <w:gridSpan w:val="4"/>
            <w:noWrap w:val="0"/>
            <w:vAlign w:val="top"/>
          </w:tcPr>
          <w:p w14:paraId="12719028">
            <w:pPr>
              <w:spacing w:line="440" w:lineRule="exact"/>
              <w:rPr>
                <w:rFonts w:eastAsia="黑体"/>
                <w:color w:val="auto"/>
                <w:szCs w:val="21"/>
              </w:rPr>
            </w:pPr>
          </w:p>
        </w:tc>
        <w:tc>
          <w:tcPr>
            <w:tcW w:w="1261" w:type="dxa"/>
            <w:noWrap w:val="0"/>
            <w:vAlign w:val="top"/>
          </w:tcPr>
          <w:p w14:paraId="224BC047">
            <w:pPr>
              <w:spacing w:line="440" w:lineRule="exact"/>
              <w:rPr>
                <w:rFonts w:eastAsia="黑体"/>
                <w:color w:val="auto"/>
                <w:szCs w:val="21"/>
              </w:rPr>
            </w:pPr>
          </w:p>
        </w:tc>
        <w:tc>
          <w:tcPr>
            <w:tcW w:w="2296" w:type="dxa"/>
            <w:gridSpan w:val="2"/>
            <w:noWrap w:val="0"/>
            <w:vAlign w:val="top"/>
          </w:tcPr>
          <w:p w14:paraId="64020E42">
            <w:pPr>
              <w:spacing w:line="440" w:lineRule="exact"/>
              <w:rPr>
                <w:rFonts w:eastAsia="黑体"/>
                <w:color w:val="auto"/>
                <w:szCs w:val="21"/>
              </w:rPr>
            </w:pPr>
          </w:p>
        </w:tc>
      </w:tr>
    </w:tbl>
    <w:p w14:paraId="74C823FA">
      <w:pPr>
        <w:rPr>
          <w:rFonts w:hint="default" w:ascii="Times New Roman" w:hAnsi="Times New Roman" w:cs="Times New Roman"/>
          <w:color w:val="auto"/>
        </w:rPr>
      </w:pPr>
      <w:r>
        <w:rPr>
          <w:rFonts w:hint="default" w:ascii="Times New Roman" w:hAnsi="Times New Roman" w:cs="Times New Roman"/>
          <w:color w:val="auto"/>
        </w:rPr>
        <w:br w:type="page"/>
      </w:r>
    </w:p>
    <w:p w14:paraId="57173CB2">
      <w:pPr>
        <w:pStyle w:val="4"/>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四</w:t>
      </w:r>
      <w:r>
        <w:rPr>
          <w:rFonts w:hint="default" w:ascii="Times New Roman" w:hAnsi="Times New Roman" w:cs="Times New Roman"/>
          <w:color w:val="auto"/>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rPr>
            </w:pPr>
          </w:p>
          <w:p w14:paraId="7A030E20">
            <w:pPr>
              <w:topLinePunct/>
              <w:spacing w:line="440" w:lineRule="exact"/>
              <w:rPr>
                <w:rFonts w:hint="default" w:ascii="Times New Roman" w:hAnsi="Times New Roman" w:cs="Times New Roman"/>
                <w:color w:val="auto"/>
                <w:szCs w:val="21"/>
              </w:rPr>
            </w:pPr>
          </w:p>
          <w:p w14:paraId="31F22641">
            <w:pPr>
              <w:topLinePunct/>
              <w:spacing w:line="440" w:lineRule="exact"/>
              <w:rPr>
                <w:rFonts w:hint="default" w:ascii="Times New Roman" w:hAnsi="Times New Roman" w:cs="Times New Roman"/>
                <w:color w:val="auto"/>
                <w:szCs w:val="21"/>
              </w:rPr>
            </w:pPr>
          </w:p>
          <w:p w14:paraId="4DA1290E">
            <w:pPr>
              <w:topLinePunct/>
              <w:spacing w:line="440" w:lineRule="exact"/>
              <w:rPr>
                <w:rFonts w:hint="default" w:ascii="Times New Roman" w:hAnsi="Times New Roman" w:cs="Times New Roman"/>
                <w:color w:val="auto"/>
                <w:szCs w:val="21"/>
              </w:rPr>
            </w:pPr>
          </w:p>
          <w:p w14:paraId="43A2FEBD">
            <w:pPr>
              <w:topLinePunct/>
              <w:spacing w:line="440" w:lineRule="exact"/>
              <w:rPr>
                <w:rFonts w:hint="default" w:ascii="Times New Roman" w:hAnsi="Times New Roman" w:cs="Times New Roman"/>
                <w:color w:val="auto"/>
                <w:szCs w:val="21"/>
              </w:rPr>
            </w:pPr>
          </w:p>
          <w:p w14:paraId="088615A3">
            <w:pPr>
              <w:topLinePunct/>
              <w:spacing w:line="440" w:lineRule="exact"/>
              <w:rPr>
                <w:rFonts w:hint="default" w:ascii="Times New Roman" w:hAnsi="Times New Roman" w:cs="Times New Roman"/>
                <w:color w:val="auto"/>
                <w:szCs w:val="21"/>
              </w:rPr>
            </w:pPr>
          </w:p>
          <w:p w14:paraId="5F3F6FB4">
            <w:pPr>
              <w:topLinePunct/>
              <w:spacing w:line="440" w:lineRule="exact"/>
              <w:rPr>
                <w:rFonts w:hint="default" w:ascii="Times New Roman" w:hAnsi="Times New Roman" w:cs="Times New Roman"/>
                <w:color w:val="auto"/>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rPr>
            </w:pPr>
          </w:p>
        </w:tc>
      </w:tr>
    </w:tbl>
    <w:p w14:paraId="1E59206E">
      <w:pPr>
        <w:spacing w:line="440" w:lineRule="exact"/>
        <w:rPr>
          <w:rFonts w:hint="default" w:ascii="Times New Roman" w:hAnsi="Times New Roman" w:cs="Times New Roman"/>
          <w:color w:val="auto"/>
        </w:rPr>
      </w:pPr>
      <w:bookmarkStart w:id="326" w:name="_Toc247514303"/>
      <w:bookmarkStart w:id="327" w:name="_Toc247527851"/>
      <w:bookmarkStart w:id="328" w:name="_Toc144974879"/>
      <w:bookmarkStart w:id="329" w:name="_Toc152045811"/>
      <w:bookmarkStart w:id="330" w:name="_Toc152042600"/>
    </w:p>
    <w:p w14:paraId="7C055E10">
      <w:pPr>
        <w:spacing w:line="440" w:lineRule="exact"/>
        <w:rPr>
          <w:rFonts w:hint="default" w:ascii="Times New Roman" w:hAnsi="Times New Roman" w:cs="Times New Roman"/>
          <w:color w:val="auto"/>
        </w:rPr>
      </w:pPr>
    </w:p>
    <w:bookmarkEnd w:id="326"/>
    <w:bookmarkEnd w:id="327"/>
    <w:bookmarkEnd w:id="328"/>
    <w:bookmarkEnd w:id="329"/>
    <w:bookmarkEnd w:id="330"/>
    <w:p w14:paraId="337CCC8B">
      <w:pPr>
        <w:pStyle w:val="4"/>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rPr>
        <w:t>（</w:t>
      </w:r>
      <w:r>
        <w:rPr>
          <w:rFonts w:hint="eastAsia" w:ascii="Times New Roman" w:hAnsi="Times New Roman" w:cs="Times New Roman"/>
          <w:color w:val="auto"/>
          <w:lang w:val="en-US" w:eastAsia="zh-CN"/>
        </w:rPr>
        <w:t>五</w:t>
      </w:r>
      <w:r>
        <w:rPr>
          <w:rFonts w:hint="default" w:ascii="Times New Roman" w:hAnsi="Times New Roman" w:cs="Times New Roman"/>
          <w:color w:val="auto"/>
        </w:rPr>
        <w:t>）</w:t>
      </w:r>
      <w:r>
        <w:rPr>
          <w:rFonts w:hint="eastAsia" w:ascii="Times New Roman" w:hAnsi="Times New Roman" w:cs="Times New Roman"/>
          <w:color w:val="auto"/>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lang w:eastAsia="zh-CN"/>
        </w:rPr>
      </w:pPr>
      <w:r>
        <w:rPr>
          <w:rFonts w:ascii="Times New Roman" w:hAnsi="Times New Roman"/>
          <w:color w:val="auto"/>
        </w:rPr>
        <w:t>注：</w:t>
      </w:r>
      <w:r>
        <w:rPr>
          <w:rFonts w:hint="eastAsia" w:ascii="Times New Roman" w:hAnsi="Times New Roman"/>
          <w:color w:val="auto"/>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rPr>
      </w:pPr>
    </w:p>
    <w:p w14:paraId="5A9A8174">
      <w:pPr>
        <w:rPr>
          <w:rFonts w:hint="default" w:ascii="Times New Roman" w:hAnsi="Times New Roman" w:cs="Times New Roman"/>
          <w:color w:val="auto"/>
          <w:szCs w:val="21"/>
        </w:rPr>
      </w:pPr>
      <w:r>
        <w:rPr>
          <w:rFonts w:hint="default" w:ascii="Times New Roman" w:hAnsi="Times New Roman" w:cs="Times New Roman"/>
          <w:color w:val="auto"/>
          <w:szCs w:val="21"/>
        </w:rPr>
        <w:br w:type="page"/>
      </w:r>
    </w:p>
    <w:bookmarkEnd w:id="306"/>
    <w:p w14:paraId="433781BC">
      <w:pPr>
        <w:pStyle w:val="4"/>
        <w:jc w:val="center"/>
        <w:rPr>
          <w:rFonts w:hint="default" w:ascii="Times New Roman" w:hAnsi="Times New Roman" w:cs="Times New Roman"/>
          <w:color w:val="auto"/>
          <w:lang w:val="en-US" w:eastAsia="zh-CN"/>
        </w:rPr>
      </w:pPr>
      <w:bookmarkStart w:id="331" w:name="_Toc300835224"/>
      <w:bookmarkStart w:id="332" w:name="_Toc296602617"/>
      <w:bookmarkStart w:id="333" w:name="_Toc144974876"/>
      <w:bookmarkStart w:id="334" w:name="_Toc152042597"/>
      <w:bookmarkStart w:id="335" w:name="_Toc246996372"/>
      <w:bookmarkStart w:id="336" w:name="_Toc179632827"/>
      <w:bookmarkStart w:id="337" w:name="_Toc152045807"/>
      <w:bookmarkStart w:id="338" w:name="_Toc247085890"/>
      <w:bookmarkStart w:id="339" w:name="_Toc152042596"/>
      <w:bookmarkStart w:id="340" w:name="_Toc152045808"/>
      <w:bookmarkStart w:id="341" w:name="_Toc144974875"/>
      <w:bookmarkStart w:id="342" w:name="_Toc247527848"/>
      <w:bookmarkStart w:id="343" w:name="_Toc246997115"/>
      <w:bookmarkStart w:id="344" w:name="_Toc247514300"/>
      <w:r>
        <w:rPr>
          <w:rFonts w:hint="eastAsia" w:ascii="Times New Roman" w:hAnsi="Times New Roman" w:cs="Times New Roman"/>
          <w:color w:val="auto"/>
          <w:lang w:val="en-US" w:eastAsia="zh-CN"/>
        </w:rPr>
        <w:t>八、</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lang w:val="en-US" w:eastAsia="zh-CN"/>
        </w:rPr>
        <w:t xml:space="preserve">响应方案 </w:t>
      </w:r>
    </w:p>
    <w:p w14:paraId="75526744">
      <w:pPr>
        <w:spacing w:line="440" w:lineRule="exact"/>
        <w:jc w:val="center"/>
        <w:rPr>
          <w:rFonts w:hint="default" w:ascii="Times New Roman" w:hAnsi="Times New Roman" w:cs="Times New Roman" w:eastAsiaTheme="minorEastAsia"/>
          <w:color w:val="auto"/>
          <w:lang w:val="en-US" w:eastAsia="zh-CN"/>
        </w:rPr>
      </w:pPr>
      <w:bookmarkStart w:id="345" w:name="_Toc247527853"/>
      <w:bookmarkStart w:id="346" w:name="_Toc247530162"/>
      <w:bookmarkStart w:id="347" w:name="_Toc152042602"/>
      <w:bookmarkStart w:id="348" w:name="_Toc247514305"/>
      <w:bookmarkStart w:id="349" w:name="_Toc152045813"/>
      <w:bookmarkStart w:id="350" w:name="_Toc144974881"/>
      <w:r>
        <w:rPr>
          <w:rFonts w:hint="eastAsia" w:ascii="Times New Roman" w:hAnsi="Times New Roman" w:cs="Times New Roman"/>
          <w:color w:val="auto"/>
          <w:lang w:val="en-US" w:eastAsia="zh-CN"/>
        </w:rPr>
        <w:t>格式自拟。</w:t>
      </w:r>
    </w:p>
    <w:bookmarkEnd w:id="345"/>
    <w:bookmarkEnd w:id="346"/>
    <w:bookmarkEnd w:id="347"/>
    <w:bookmarkEnd w:id="348"/>
    <w:bookmarkEnd w:id="349"/>
    <w:bookmarkEnd w:id="350"/>
    <w:p w14:paraId="45DE4DF4">
      <w:pPr>
        <w:rPr>
          <w:rFonts w:hint="eastAsia" w:ascii="Times New Roman" w:hAnsi="Times New Roman" w:cs="Times New Roman"/>
          <w:color w:val="auto"/>
          <w:lang w:val="en-US" w:eastAsia="zh-CN"/>
        </w:rPr>
      </w:pPr>
      <w:bookmarkStart w:id="351" w:name="_Toc271821942"/>
      <w:bookmarkStart w:id="352" w:name="_Toc300835233"/>
      <w:r>
        <w:rPr>
          <w:rFonts w:hint="eastAsia" w:ascii="Times New Roman" w:hAnsi="Times New Roman" w:cs="Times New Roman"/>
          <w:color w:val="auto"/>
          <w:lang w:val="en-US" w:eastAsia="zh-CN"/>
        </w:rPr>
        <w:br w:type="page"/>
      </w:r>
    </w:p>
    <w:p w14:paraId="1E5B7EEB">
      <w:pPr>
        <w:pStyle w:val="3"/>
        <w:jc w:val="center"/>
        <w:rPr>
          <w:rFonts w:hint="default" w:ascii="Times New Roman" w:hAnsi="Times New Roman" w:cs="Times New Roman"/>
          <w:color w:val="auto"/>
        </w:rPr>
      </w:pPr>
      <w:r>
        <w:rPr>
          <w:rFonts w:hint="eastAsia" w:ascii="Times New Roman" w:hAnsi="Times New Roman" w:cs="Times New Roman"/>
          <w:color w:val="auto"/>
          <w:lang w:val="en-US" w:eastAsia="zh-CN"/>
        </w:rPr>
        <w:t>九</w:t>
      </w:r>
      <w:r>
        <w:rPr>
          <w:rFonts w:hint="default" w:ascii="Times New Roman" w:hAnsi="Times New Roman" w:cs="Times New Roman"/>
          <w:color w:val="auto"/>
        </w:rPr>
        <w:t>、其他资料</w:t>
      </w:r>
      <w:bookmarkEnd w:id="351"/>
      <w:bookmarkEnd w:id="352"/>
    </w:p>
    <w:p w14:paraId="2A13D19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w:t>
      </w:r>
      <w:r>
        <w:rPr>
          <w:rFonts w:hint="eastAsia" w:ascii="Times New Roman" w:hAnsi="Times New Roman"/>
          <w:color w:val="auto"/>
          <w:lang w:val="en-US" w:eastAsia="zh-CN"/>
        </w:rPr>
        <w:t>响应</w:t>
      </w:r>
      <w:r>
        <w:rPr>
          <w:rFonts w:hint="eastAsia" w:ascii="Times New Roman" w:hAnsi="Times New Roman"/>
          <w:color w:val="auto"/>
        </w:rPr>
        <w:t>文件格式”未详尽列举，但</w:t>
      </w:r>
      <w:r>
        <w:rPr>
          <w:rFonts w:hint="eastAsia" w:ascii="Times New Roman" w:hAnsi="Times New Roman"/>
          <w:color w:val="auto"/>
          <w:lang w:val="en-US" w:eastAsia="zh-CN"/>
        </w:rPr>
        <w:t>询比</w:t>
      </w:r>
      <w:r>
        <w:rPr>
          <w:rFonts w:hint="eastAsia" w:ascii="Times New Roman" w:hAnsi="Times New Roman"/>
          <w:color w:val="auto"/>
        </w:rPr>
        <w:t>文件要求或</w:t>
      </w:r>
      <w:r>
        <w:rPr>
          <w:rFonts w:hint="eastAsia" w:ascii="Times New Roman" w:hAnsi="Times New Roman"/>
          <w:color w:val="auto"/>
          <w:lang w:val="en-US" w:eastAsia="zh-CN"/>
        </w:rPr>
        <w:t>供应商认为</w:t>
      </w:r>
      <w:r>
        <w:rPr>
          <w:rFonts w:hint="eastAsia" w:ascii="Times New Roman" w:hAnsi="Times New Roman"/>
          <w:color w:val="auto"/>
        </w:rPr>
        <w:t>有必要提供的资料</w:t>
      </w:r>
      <w:r>
        <w:rPr>
          <w:rFonts w:hint="eastAsia" w:ascii="Times New Roman" w:hAnsi="Times New Roman"/>
          <w:color w:val="auto"/>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p w14:paraId="1C6F4533">
      <w:pPr>
        <w:rPr>
          <w:color w:val="auto"/>
        </w:rPr>
      </w:pPr>
    </w:p>
    <w:bookmarkEnd w:id="353"/>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2A8D0C1-7A75-44B7-9B1A-FE7EEC27648F}"/>
  </w:font>
  <w:font w:name="Arial">
    <w:panose1 w:val="020B0604020202020204"/>
    <w:charset w:val="01"/>
    <w:family w:val="swiss"/>
    <w:pitch w:val="default"/>
    <w:sig w:usb0="E0002EFF" w:usb1="C000785B" w:usb2="00000009" w:usb3="00000000" w:csb0="400001FF" w:csb1="FFFF0000"/>
    <w:embedRegular r:id="rId2" w:fontKey="{096C9F1F-4300-43C6-B5A8-C1DEDAAEB5C5}"/>
  </w:font>
  <w:font w:name="黑体">
    <w:panose1 w:val="02010609060101010101"/>
    <w:charset w:val="86"/>
    <w:family w:val="auto"/>
    <w:pitch w:val="default"/>
    <w:sig w:usb0="800002BF" w:usb1="38CF7CFA" w:usb2="00000016" w:usb3="00000000" w:csb0="00040001" w:csb1="00000000"/>
    <w:embedRegular r:id="rId3" w:fontKey="{D90F7567-AF0E-4103-851D-7880EA5161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DBFEC0B1-00A6-45FB-A88F-2A0119D60A3A}"/>
  </w:font>
  <w:font w:name="方正小标宋简体">
    <w:panose1 w:val="02010600010101010101"/>
    <w:charset w:val="86"/>
    <w:family w:val="auto"/>
    <w:pitch w:val="default"/>
    <w:sig w:usb0="00000001" w:usb1="080E0000" w:usb2="00000000" w:usb3="00000000" w:csb0="00040000" w:csb1="00000000"/>
    <w:embedRegular r:id="rId5" w:fontKey="{22BADD78-A08A-402D-9541-08BE255BEA0A}"/>
  </w:font>
  <w:font w:name="楷体">
    <w:panose1 w:val="02010609060101010101"/>
    <w:charset w:val="86"/>
    <w:family w:val="auto"/>
    <w:pitch w:val="default"/>
    <w:sig w:usb0="800002BF" w:usb1="38CF7CFA" w:usb2="00000016" w:usb3="00000000" w:csb0="00040001" w:csb1="00000000"/>
    <w:embedRegular r:id="rId6" w:fontKey="{E1A253C0-D9DE-4FDC-B6CC-214EEDB257E9}"/>
  </w:font>
  <w:font w:name="仿宋_GB2312">
    <w:panose1 w:val="02010609030101010101"/>
    <w:charset w:val="86"/>
    <w:family w:val="modern"/>
    <w:pitch w:val="default"/>
    <w:sig w:usb0="00000001" w:usb1="080E0000" w:usb2="00000000" w:usb3="00000000" w:csb0="00040000" w:csb1="00000000"/>
    <w:embedRegular r:id="rId7" w:fontKey="{D8135368-1984-4A2F-993F-0348CA01C57C}"/>
  </w:font>
  <w:font w:name="Wingdings 2">
    <w:altName w:val="Wingdings"/>
    <w:panose1 w:val="05020102010507070707"/>
    <w:charset w:val="00"/>
    <w:family w:val="auto"/>
    <w:pitch w:val="default"/>
    <w:sig w:usb0="00000000" w:usb1="00000000" w:usb2="00000000" w:usb3="00000000" w:csb0="80000000" w:csb1="00000000"/>
    <w:embedRegular r:id="rId8" w:fontKey="{AF73A3EF-2506-4CC4-9FD3-4E0994DAB0EF}"/>
  </w:font>
  <w:font w:name="方正仿宋_GB2312">
    <w:panose1 w:val="02000000000000000000"/>
    <w:charset w:val="86"/>
    <w:family w:val="auto"/>
    <w:pitch w:val="default"/>
    <w:sig w:usb0="A00002BF" w:usb1="184F6CFA" w:usb2="00000012" w:usb3="00000000" w:csb0="00040001" w:csb1="00000000"/>
    <w:embedRegular r:id="rId9" w:fontKey="{47FFBBD4-C422-4750-8035-CE3D931D3F8C}"/>
  </w:font>
  <w:font w:name="仿宋">
    <w:panose1 w:val="02010609060101010101"/>
    <w:charset w:val="86"/>
    <w:family w:val="modern"/>
    <w:pitch w:val="default"/>
    <w:sig w:usb0="800002BF" w:usb1="38CF7CFA" w:usb2="00000016" w:usb3="00000000" w:csb0="00040001" w:csb1="00000000"/>
    <w:embedRegular r:id="rId10" w:fontKey="{E21D5A41-36D0-4D22-BC82-70195C8FC338}"/>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186C8">
    <w:pPr>
      <w:spacing w:line="233" w:lineRule="auto"/>
      <w:ind w:left="3897"/>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56923">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AA56923">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F723B">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4EF723B">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17233"/>
    <w:multiLevelType w:val="singleLevel"/>
    <w:tmpl w:val="0031723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C75A8"/>
    <w:rsid w:val="08C9126D"/>
    <w:rsid w:val="0C727688"/>
    <w:rsid w:val="0E516BD6"/>
    <w:rsid w:val="0FC24208"/>
    <w:rsid w:val="11A501DF"/>
    <w:rsid w:val="13A858F4"/>
    <w:rsid w:val="1828693D"/>
    <w:rsid w:val="18492D13"/>
    <w:rsid w:val="189242E9"/>
    <w:rsid w:val="1B4F12C0"/>
    <w:rsid w:val="1C461751"/>
    <w:rsid w:val="1C823FD5"/>
    <w:rsid w:val="1DEE475C"/>
    <w:rsid w:val="21CD45A0"/>
    <w:rsid w:val="23910CAD"/>
    <w:rsid w:val="24347816"/>
    <w:rsid w:val="2484646C"/>
    <w:rsid w:val="2572277A"/>
    <w:rsid w:val="27A961FC"/>
    <w:rsid w:val="2A714DFD"/>
    <w:rsid w:val="2C2846CB"/>
    <w:rsid w:val="2DC6469C"/>
    <w:rsid w:val="2F344BA9"/>
    <w:rsid w:val="2F3B2A68"/>
    <w:rsid w:val="31521698"/>
    <w:rsid w:val="32044C67"/>
    <w:rsid w:val="340D366E"/>
    <w:rsid w:val="34EB50F8"/>
    <w:rsid w:val="39AD7CF8"/>
    <w:rsid w:val="3B390F77"/>
    <w:rsid w:val="3B3F4A55"/>
    <w:rsid w:val="3BA772CC"/>
    <w:rsid w:val="3CE82ECA"/>
    <w:rsid w:val="3D6A2A57"/>
    <w:rsid w:val="3F9B14A2"/>
    <w:rsid w:val="40864378"/>
    <w:rsid w:val="41E9396D"/>
    <w:rsid w:val="47AF4D11"/>
    <w:rsid w:val="48E249BE"/>
    <w:rsid w:val="4AD81AE8"/>
    <w:rsid w:val="4B50680B"/>
    <w:rsid w:val="4CF33589"/>
    <w:rsid w:val="4D791AFB"/>
    <w:rsid w:val="4DC617B7"/>
    <w:rsid w:val="4DDD3C5A"/>
    <w:rsid w:val="51847E66"/>
    <w:rsid w:val="546E7D01"/>
    <w:rsid w:val="551075A5"/>
    <w:rsid w:val="557001D0"/>
    <w:rsid w:val="55FD133D"/>
    <w:rsid w:val="56D95906"/>
    <w:rsid w:val="57166E1F"/>
    <w:rsid w:val="58337298"/>
    <w:rsid w:val="59C8698D"/>
    <w:rsid w:val="5A386DE8"/>
    <w:rsid w:val="5AA92783"/>
    <w:rsid w:val="5B86575D"/>
    <w:rsid w:val="601C4AB5"/>
    <w:rsid w:val="60644CD3"/>
    <w:rsid w:val="61480ED7"/>
    <w:rsid w:val="61B41449"/>
    <w:rsid w:val="627F5BC8"/>
    <w:rsid w:val="62CC6984"/>
    <w:rsid w:val="62E67E39"/>
    <w:rsid w:val="63461627"/>
    <w:rsid w:val="65117A25"/>
    <w:rsid w:val="65D05BA6"/>
    <w:rsid w:val="6C2947E2"/>
    <w:rsid w:val="6C726A31"/>
    <w:rsid w:val="6EEE3AC1"/>
    <w:rsid w:val="6EFF3C2D"/>
    <w:rsid w:val="6F542C8F"/>
    <w:rsid w:val="707B619A"/>
    <w:rsid w:val="70DB737B"/>
    <w:rsid w:val="74092D09"/>
    <w:rsid w:val="75836D3D"/>
    <w:rsid w:val="760A471E"/>
    <w:rsid w:val="76AB422A"/>
    <w:rsid w:val="76E9529A"/>
    <w:rsid w:val="783E1615"/>
    <w:rsid w:val="786850A6"/>
    <w:rsid w:val="793E1949"/>
    <w:rsid w:val="79AE0A9A"/>
    <w:rsid w:val="79B1064F"/>
    <w:rsid w:val="7AE04C06"/>
    <w:rsid w:val="7BB21EC8"/>
    <w:rsid w:val="7CE73B2B"/>
    <w:rsid w:val="7D0D6D53"/>
    <w:rsid w:val="7F5B485B"/>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HTML Preformatted"/>
    <w:basedOn w:val="1"/>
    <w:qFormat/>
    <w:uiPriority w:val="0"/>
    <w:pPr>
      <w:jc w:val="left"/>
    </w:pPr>
    <w:rPr>
      <w:rFonts w:hint="eastAsia" w:ascii="宋体" w:hAnsi="宋体"/>
      <w:kern w:val="0"/>
      <w:sz w:val="24"/>
    </w:rPr>
  </w:style>
  <w:style w:type="paragraph" w:styleId="13">
    <w:name w:val="Body Text First Indent 2"/>
    <w:basedOn w:val="8"/>
    <w:next w:val="1"/>
    <w:qFormat/>
    <w:uiPriority w:val="0"/>
    <w:pPr>
      <w:ind w:firstLine="420"/>
    </w:pPr>
    <w:rPr>
      <w:rFonts w:eastAsia="宋体"/>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Table Text"/>
    <w:basedOn w:val="1"/>
    <w:semiHidden/>
    <w:qFormat/>
    <w:uiPriority w:val="0"/>
    <w:rPr>
      <w:rFonts w:ascii="宋体" w:hAnsi="宋体" w:eastAsia="宋体" w:cs="宋体"/>
      <w:sz w:val="21"/>
      <w:szCs w:val="21"/>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903</Words>
  <Characters>1436</Characters>
  <Lines>0</Lines>
  <Paragraphs>0</Paragraphs>
  <TotalTime>7</TotalTime>
  <ScaleCrop>false</ScaleCrop>
  <LinksUpToDate>false</LinksUpToDate>
  <CharactersWithSpaces>1449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2025-08-12T01:53:00Z</dcterms:created>
  <dc:creator>Administrator</dc:creator>
  <cp:lastModifiedBy>TiMe</cp:lastModifiedBy>
  <cp:lastPrinted>2026-04-14T08:19:00Z</cp:lastPrinted>
  <dcterms:modified xsi:type="dcterms:W3CDTF">2026-04-17T06:47:05Z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eyJoZGlkIjoiODQ5NjkzN2ZlZjQxZjYzMzcyZDI3NmZhNzYzYWFlNDAiLCJ1c2VySWQiOiI0MjMyNDI2MzkifQ==</vt:lpwstr>
  </property>
  <property fmtid="{D5CDD505-2E9C-101B-9397-08002B2CF9AE}" pid="4" name="ICV">
    <vt:lpwstr>4DEDAD84AD6848CCB177379078848CF2_13</vt:lpwstr>
  </property>
</Properties>
</file>