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66A56D5">
      <w:pPr>
        <w:keepNext w:val="0"/>
        <w:keepLines w:val="0"/>
        <w:pageBreakBefore w:val="0"/>
        <w:widowControl w:val="0"/>
        <w:kinsoku/>
        <w:wordWrap w:val="0"/>
        <w:overflowPunct/>
        <w:topLinePunct w:val="0"/>
        <w:autoSpaceDE/>
        <w:autoSpaceDN/>
        <w:bidi w:val="0"/>
        <w:adjustRightInd/>
        <w:snapToGrid/>
        <w:spacing w:line="480" w:lineRule="exact"/>
        <w:ind w:firstLine="640" w:firstLineChars="200"/>
        <w:jc w:val="both"/>
        <w:textAlignment w:val="auto"/>
        <w:rPr>
          <w:rFonts w:hint="eastAsia"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华佗中医药文化传承创新示范项目配套附属用房工程</w:t>
      </w:r>
    </w:p>
    <w:p w14:paraId="7792D2D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imes New Roman" w:hAnsi="Times New Roman" w:eastAsia="黑体" w:cs="Times New Roman"/>
          <w:kern w:val="0"/>
          <w:sz w:val="32"/>
          <w:szCs w:val="32"/>
          <w:highlight w:val="none"/>
          <w:lang w:val="en-US" w:eastAsia="zh-CN"/>
        </w:rPr>
        <w:t>土方工程专业分包</w:t>
      </w:r>
    </w:p>
    <w:p w14:paraId="3E5CAF3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lang w:val="en-US" w:eastAsia="zh-CN"/>
        </w:rPr>
      </w:pP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AHTKJS-2026-016号</w:t>
      </w:r>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0"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0"/>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1" w:edGrp="everyone"/>
      <w:r>
        <w:rPr>
          <w:rFonts w:hint="eastAsia" w:ascii="Times New Roman" w:hAnsi="Times New Roman" w:eastAsia="楷体" w:cs="Times New Roman"/>
          <w:kern w:val="0"/>
          <w:sz w:val="32"/>
          <w:szCs w:val="32"/>
          <w:highlight w:val="none"/>
          <w:shd w:val="clear" w:color="auto" w:fill="auto"/>
          <w:lang w:val="en-US" w:eastAsia="zh-CN"/>
        </w:rPr>
        <w:t>2026年4</w:t>
      </w:r>
      <w:r>
        <w:rPr>
          <w:rFonts w:hint="eastAsia" w:ascii="Times New Roman" w:hAnsi="Times New Roman" w:eastAsia="楷体" w:cs="Times New Roman"/>
          <w:kern w:val="0"/>
          <w:sz w:val="32"/>
          <w:szCs w:val="32"/>
          <w:highlight w:val="none"/>
          <w:u w:val="none"/>
          <w:shd w:val="clear" w:color="auto" w:fill="auto"/>
          <w:lang w:val="en-US" w:eastAsia="zh-CN"/>
        </w:rPr>
        <w:t>月17日</w:t>
      </w:r>
      <w:permEnd w:id="1"/>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2"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 xml:space="preserve">............................................................1第二章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2"/>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u w:val="single"/>
          <w:lang w:val="en-US" w:eastAsia="zh-CN"/>
        </w:rPr>
        <w:t>华佗中医药文化传承创新示范项目配套附属用房工程土方工程专业分包</w:t>
      </w:r>
      <w:r>
        <w:rPr>
          <w:rFonts w:hint="eastAsia" w:asciiTheme="minorEastAsia" w:hAnsiTheme="minorEastAsia" w:eastAsiaTheme="minorEastAsia" w:cstheme="minorEastAsia"/>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3" w:edGrp="everyone"/>
      <w:r>
        <w:rPr>
          <w:rFonts w:hint="eastAsia" w:asciiTheme="minorEastAsia" w:hAnsiTheme="minorEastAsia" w:cstheme="minorEastAsia"/>
          <w:sz w:val="28"/>
          <w:szCs w:val="28"/>
          <w:highlight w:val="none"/>
          <w:u w:val="none"/>
          <w:lang w:val="en-US" w:eastAsia="zh-CN"/>
        </w:rPr>
        <w:t>华佗中医药文化传承创新示范项目配套附属用房工程土方工程专业分包</w:t>
      </w:r>
    </w:p>
    <w:permEnd w:id="3"/>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4" w:edGrp="everyone"/>
      <w:r>
        <w:rPr>
          <w:rFonts w:hint="eastAsia" w:asciiTheme="minorEastAsia" w:hAnsiTheme="minorEastAsia" w:cstheme="minorEastAsia"/>
          <w:sz w:val="28"/>
          <w:szCs w:val="28"/>
          <w:highlight w:val="none"/>
          <w:lang w:val="en-US" w:eastAsia="zh-CN"/>
        </w:rPr>
        <w:t>AHTKJS-2026-016号</w:t>
      </w:r>
      <w:r>
        <w:rPr>
          <w:rFonts w:hint="eastAsia" w:asciiTheme="minorEastAsia" w:hAnsiTheme="minorEastAsia" w:eastAsiaTheme="minorEastAsia" w:cstheme="minorEastAsia"/>
          <w:sz w:val="28"/>
          <w:szCs w:val="28"/>
          <w:highlight w:val="none"/>
          <w:lang w:val="en-US" w:eastAsia="zh-CN"/>
        </w:rPr>
        <w:t xml:space="preserve"> </w:t>
      </w:r>
      <w:permEnd w:id="4"/>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5"/>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6"/>
    </w:p>
    <w:p w14:paraId="2603117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7" w:edGrp="everyone"/>
      <w:r>
        <w:rPr>
          <w:rFonts w:hint="eastAsia" w:asciiTheme="minorEastAsia" w:hAnsiTheme="minorEastAsia" w:cstheme="minorEastAsia"/>
          <w:color w:val="FF0000"/>
          <w:sz w:val="28"/>
          <w:szCs w:val="28"/>
          <w:highlight w:val="none"/>
          <w:lang w:val="en-US" w:eastAsia="zh-CN"/>
        </w:rPr>
        <w:t>（含税：9%）</w:t>
      </w:r>
      <w:permEnd w:id="7"/>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914256.84元，按</w:t>
      </w:r>
      <w:r>
        <w:rPr>
          <w:rFonts w:hint="eastAsia" w:asciiTheme="minorEastAsia" w:hAnsiTheme="minorEastAsia" w:cstheme="minorEastAsia"/>
          <w:color w:val="FF0000"/>
          <w:sz w:val="28"/>
          <w:szCs w:val="28"/>
          <w:highlight w:val="none"/>
          <w:lang w:val="en-US" w:eastAsia="zh-CN"/>
        </w:rPr>
        <w:t>固定单价</w:t>
      </w:r>
      <w:r>
        <w:rPr>
          <w:rFonts w:hint="eastAsia" w:asciiTheme="minorEastAsia" w:hAnsiTheme="minorEastAsia" w:cstheme="minorEastAsia"/>
          <w:sz w:val="28"/>
          <w:szCs w:val="28"/>
          <w:highlight w:val="none"/>
          <w:lang w:val="en-US" w:eastAsia="zh-CN"/>
        </w:rPr>
        <w:t>报价。报价超出限价或低于成本价的，按无效报价处理；报价应包括为完成本项目采购范围内各阶段工作内容所需的全部费用，成交后不予调整，其他未尽事宜应统一考虑在报价内。不含税价格不因国家税率变化而改变，在合同履行期间，如遇国家税率调整，则价税合计的价格应相应调整，以开具发票的时间为准。</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17AA0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eastAsiaTheme="minorEastAsia" w:cstheme="minorEastAsia"/>
          <w:kern w:val="2"/>
          <w:sz w:val="28"/>
          <w:szCs w:val="28"/>
          <w:highlight w:val="none"/>
          <w:lang w:val="en-US" w:eastAsia="zh-CN"/>
        </w:rPr>
        <w:t>1、</w:t>
      </w:r>
      <w:r>
        <w:rPr>
          <w:rFonts w:hint="eastAsia" w:asciiTheme="minorEastAsia" w:hAnsiTheme="minorEastAsia" w:cstheme="minorEastAsia"/>
          <w:kern w:val="2"/>
          <w:sz w:val="28"/>
          <w:szCs w:val="28"/>
          <w:highlight w:val="none"/>
          <w:lang w:val="en-US" w:eastAsia="zh-CN"/>
        </w:rPr>
        <w:t>华佗中医药文化传承创新示范项目配套附属用房工程土方工程专业分包</w:t>
      </w:r>
      <w:r>
        <w:rPr>
          <w:rFonts w:hint="eastAsia" w:asciiTheme="minorEastAsia" w:hAnsiTheme="minorEastAsia" w:eastAsiaTheme="minorEastAsia" w:cstheme="minorEastAsia"/>
          <w:kern w:val="2"/>
          <w:sz w:val="28"/>
          <w:szCs w:val="28"/>
          <w:highlight w:val="none"/>
          <w:lang w:val="en-US" w:eastAsia="zh-CN"/>
        </w:rPr>
        <w:t>，施工范围包含但不限于</w:t>
      </w:r>
      <w:r>
        <w:rPr>
          <w:rFonts w:hint="eastAsia" w:asciiTheme="minorEastAsia" w:hAnsiTheme="minorEastAsia" w:eastAsiaTheme="minorEastAsia" w:cstheme="minorEastAsia"/>
          <w:color w:val="auto"/>
          <w:sz w:val="28"/>
          <w:szCs w:val="28"/>
          <w:highlight w:val="none"/>
          <w:lang w:val="en-US" w:eastAsia="zh-CN"/>
        </w:rPr>
        <w:t>场地清表平整、基地清理和刮平、挖土、土方回填等</w:t>
      </w:r>
      <w:r>
        <w:rPr>
          <w:rFonts w:hint="eastAsia" w:asciiTheme="minorEastAsia" w:hAnsiTheme="minorEastAsia" w:cstheme="minorEastAsia"/>
          <w:color w:val="auto"/>
          <w:sz w:val="28"/>
          <w:szCs w:val="28"/>
          <w:highlight w:val="none"/>
          <w:lang w:val="en-US" w:eastAsia="zh-CN"/>
        </w:rPr>
        <w:t>及采购</w:t>
      </w:r>
      <w:r>
        <w:rPr>
          <w:rFonts w:hint="eastAsia" w:asciiTheme="minorEastAsia" w:hAnsiTheme="minorEastAsia" w:eastAsiaTheme="minorEastAsia" w:cstheme="minorEastAsia"/>
          <w:color w:val="auto"/>
          <w:sz w:val="28"/>
          <w:szCs w:val="28"/>
          <w:highlight w:val="none"/>
          <w:lang w:val="en-US" w:eastAsia="zh-CN"/>
        </w:rPr>
        <w:t>清单、设计变更、</w:t>
      </w:r>
      <w:r>
        <w:rPr>
          <w:rFonts w:hint="eastAsia" w:asciiTheme="minorEastAsia" w:hAnsiTheme="minorEastAsia" w:cstheme="minorEastAsia"/>
          <w:color w:val="auto"/>
          <w:sz w:val="28"/>
          <w:szCs w:val="28"/>
          <w:highlight w:val="none"/>
          <w:lang w:val="en-US" w:eastAsia="zh-CN"/>
        </w:rPr>
        <w:t>采购人</w:t>
      </w:r>
      <w:r>
        <w:rPr>
          <w:rFonts w:hint="eastAsia" w:asciiTheme="minorEastAsia" w:hAnsiTheme="minorEastAsia" w:eastAsiaTheme="minorEastAsia" w:cstheme="minorEastAsia"/>
          <w:color w:val="auto"/>
          <w:sz w:val="28"/>
          <w:szCs w:val="28"/>
          <w:highlight w:val="none"/>
          <w:lang w:val="en-US" w:eastAsia="zh-CN"/>
        </w:rPr>
        <w:t>要求增加、业主及甲方要求增加、工程联系单等要求的土方工程工作内容</w:t>
      </w:r>
      <w:r>
        <w:rPr>
          <w:rFonts w:hint="eastAsia" w:asciiTheme="minorEastAsia" w:hAnsiTheme="minorEastAsia" w:eastAsiaTheme="minorEastAsia" w:cstheme="minorEastAsia"/>
          <w:kern w:val="2"/>
          <w:sz w:val="28"/>
          <w:szCs w:val="28"/>
          <w:highlight w:val="none"/>
          <w:lang w:val="en-US" w:eastAsia="zh-CN"/>
        </w:rPr>
        <w:t>。</w:t>
      </w:r>
      <w:r>
        <w:rPr>
          <w:rFonts w:hint="eastAsia" w:asciiTheme="minorEastAsia" w:hAnsiTheme="minorEastAsia" w:cstheme="minorEastAsia"/>
          <w:kern w:val="2"/>
          <w:sz w:val="28"/>
          <w:szCs w:val="28"/>
          <w:highlight w:val="none"/>
          <w:lang w:val="en-US" w:eastAsia="zh-CN"/>
        </w:rPr>
        <w:t>响应</w:t>
      </w:r>
      <w:r>
        <w:rPr>
          <w:rFonts w:hint="eastAsia" w:asciiTheme="minorEastAsia" w:hAnsiTheme="minorEastAsia" w:eastAsiaTheme="minorEastAsia" w:cstheme="minorEastAsia"/>
          <w:kern w:val="2"/>
          <w:sz w:val="28"/>
          <w:szCs w:val="28"/>
          <w:highlight w:val="none"/>
          <w:lang w:val="en-US" w:eastAsia="zh-CN"/>
        </w:rPr>
        <w:t>单位</w:t>
      </w:r>
      <w:r>
        <w:rPr>
          <w:rFonts w:hint="eastAsia" w:asciiTheme="minorEastAsia" w:hAnsiTheme="minorEastAsia" w:cstheme="minorEastAsia"/>
          <w:kern w:val="2"/>
          <w:sz w:val="28"/>
          <w:szCs w:val="28"/>
          <w:highlight w:val="none"/>
          <w:lang w:val="en-US" w:eastAsia="zh-CN"/>
        </w:rPr>
        <w:t>响应</w:t>
      </w:r>
      <w:r>
        <w:rPr>
          <w:rFonts w:hint="eastAsia" w:asciiTheme="minorEastAsia" w:hAnsiTheme="minorEastAsia" w:eastAsiaTheme="minorEastAsia" w:cstheme="minorEastAsia"/>
          <w:kern w:val="2"/>
          <w:sz w:val="28"/>
          <w:szCs w:val="28"/>
          <w:highlight w:val="none"/>
          <w:lang w:val="en-US" w:eastAsia="zh-CN"/>
        </w:rPr>
        <w:t>前请认真查阅施工图、并现场勘察了解情况，</w:t>
      </w:r>
      <w:r>
        <w:rPr>
          <w:rFonts w:hint="eastAsia" w:asciiTheme="minorEastAsia" w:hAnsiTheme="minorEastAsia" w:cstheme="minorEastAsia"/>
          <w:kern w:val="2"/>
          <w:sz w:val="28"/>
          <w:szCs w:val="28"/>
          <w:highlight w:val="none"/>
          <w:lang w:val="en-US" w:eastAsia="zh-CN"/>
        </w:rPr>
        <w:t>响应</w:t>
      </w:r>
      <w:r>
        <w:rPr>
          <w:rFonts w:hint="eastAsia" w:asciiTheme="minorEastAsia" w:hAnsiTheme="minorEastAsia" w:eastAsiaTheme="minorEastAsia" w:cstheme="minorEastAsia"/>
          <w:kern w:val="2"/>
          <w:sz w:val="28"/>
          <w:szCs w:val="28"/>
          <w:highlight w:val="none"/>
          <w:lang w:val="en-US" w:eastAsia="zh-CN"/>
        </w:rPr>
        <w:t>时我方认为</w:t>
      </w:r>
      <w:r>
        <w:rPr>
          <w:rFonts w:hint="eastAsia" w:asciiTheme="minorEastAsia" w:hAnsiTheme="minorEastAsia" w:cstheme="minorEastAsia"/>
          <w:kern w:val="2"/>
          <w:sz w:val="28"/>
          <w:szCs w:val="28"/>
          <w:highlight w:val="none"/>
          <w:lang w:val="en-US" w:eastAsia="zh-CN"/>
        </w:rPr>
        <w:t>响应</w:t>
      </w:r>
      <w:r>
        <w:rPr>
          <w:rFonts w:hint="eastAsia" w:asciiTheme="minorEastAsia" w:hAnsiTheme="minorEastAsia" w:eastAsiaTheme="minorEastAsia" w:cstheme="minorEastAsia"/>
          <w:kern w:val="2"/>
          <w:sz w:val="28"/>
          <w:szCs w:val="28"/>
          <w:highlight w:val="none"/>
          <w:lang w:val="en-US" w:eastAsia="zh-CN"/>
        </w:rPr>
        <w:t>单位已充分了解工程概况；</w:t>
      </w:r>
    </w:p>
    <w:p w14:paraId="6019566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2、专业分包安全文明施工范围：采购人提供施工场区大门、围挡、冲洗设备、实名制通道及设备、扬尘监测仪、变压器；本工程施工的安全文明设备设施须符合安徽省建筑工程安全文明标化工地的要求，为满足安全文明施工要求进行的施工范围内洒水、清扫、覆盖、冲洗等施工，所需的一切辅助工作以及其他专业分包单位所需的配合工作，均由相应的专业分包人负责，配合成交人施工的工作产生的费用由成交人承担，其费用综合考虑纳入报价；成交人须全力协助处理村民、政府、相关单位的关系，积极组织施工确保施工顺利进行；本工程的施工范围相关的施工组织方案及专项方案的编制、专家论证等资料编制工作。</w:t>
      </w:r>
    </w:p>
    <w:permEnd w:id="8"/>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9" w:edGrp="everyone"/>
      <w:r>
        <w:rPr>
          <w:rFonts w:hint="eastAsia" w:ascii="宋体" w:hAnsi="宋体" w:cs="宋体"/>
          <w:color w:val="auto"/>
          <w:kern w:val="2"/>
          <w:sz w:val="28"/>
          <w:szCs w:val="28"/>
          <w:highlight w:val="none"/>
          <w:lang w:val="en-US" w:eastAsia="zh-CN"/>
        </w:rPr>
        <w:t>计划工期</w:t>
      </w:r>
      <w:r>
        <w:rPr>
          <w:rFonts w:hint="eastAsia" w:ascii="宋体" w:hAnsi="宋体" w:eastAsia="宋体" w:cs="宋体"/>
          <w:color w:val="auto"/>
          <w:kern w:val="2"/>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eastAsia="zh-CN"/>
        </w:rPr>
        <w:t xml:space="preserve">自合同签订之日起 </w:t>
      </w:r>
      <w:r>
        <w:rPr>
          <w:rFonts w:hint="eastAsia" w:asciiTheme="minorEastAsia" w:hAnsiTheme="minorEastAsia" w:eastAsiaTheme="minorEastAsia" w:cstheme="minorEastAsia"/>
          <w:kern w:val="2"/>
          <w:sz w:val="28"/>
          <w:szCs w:val="28"/>
          <w:highlight w:val="none"/>
          <w:lang w:val="en-US" w:eastAsia="zh-CN"/>
        </w:rPr>
        <w:t>120</w:t>
      </w:r>
      <w:r>
        <w:rPr>
          <w:rFonts w:hint="eastAsia" w:asciiTheme="minorEastAsia" w:hAnsiTheme="minorEastAsia" w:eastAsiaTheme="minorEastAsia" w:cstheme="minorEastAsia"/>
          <w:kern w:val="2"/>
          <w:sz w:val="28"/>
          <w:szCs w:val="28"/>
          <w:highlight w:val="none"/>
          <w:lang w:eastAsia="zh-CN"/>
        </w:rPr>
        <w:t>日历天。</w:t>
      </w:r>
      <w:permEnd w:id="9"/>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（三）施工地点</w:t>
      </w:r>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Theme="minorEastAsia" w:hAnsiTheme="minorEastAsia" w:cstheme="minorEastAsia"/>
          <w:sz w:val="28"/>
          <w:szCs w:val="28"/>
          <w:highlight w:val="none"/>
          <w:lang w:val="en-US" w:eastAsia="zh-CN"/>
        </w:rPr>
        <w:t>亳州市</w:t>
      </w:r>
      <w:r>
        <w:rPr>
          <w:rFonts w:hint="eastAsia" w:asciiTheme="minorEastAsia" w:hAnsiTheme="minorEastAsia" w:eastAsiaTheme="minorEastAsia" w:cstheme="minorEastAsia"/>
          <w:kern w:val="2"/>
          <w:sz w:val="28"/>
          <w:szCs w:val="28"/>
          <w:highlight w:val="none"/>
          <w:lang w:val="en-US" w:eastAsia="zh-CN"/>
        </w:rPr>
        <w:t>华佗百草园园区内</w:t>
      </w:r>
      <w:r>
        <w:rPr>
          <w:rFonts w:hint="eastAsia" w:asciiTheme="minorEastAsia" w:hAnsiTheme="minorEastAsia" w:cstheme="minorEastAsia"/>
          <w:color w:val="FF0000"/>
          <w:sz w:val="28"/>
          <w:szCs w:val="28"/>
          <w:highlight w:val="none"/>
          <w:lang w:val="en-US" w:eastAsia="zh-CN"/>
        </w:rPr>
        <w:t xml:space="preserve"> </w:t>
      </w:r>
      <w:permEnd w:id="10"/>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）质量标准：</w:t>
      </w:r>
      <w:permStart w:id="11"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1"/>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18BB9B6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kern w:val="2"/>
          <w:sz w:val="28"/>
          <w:szCs w:val="28"/>
          <w:highlight w:val="none"/>
          <w:lang w:val="en-US" w:eastAsia="zh-CN"/>
        </w:rPr>
        <w:t>具有独立法人资格，并在人员、设备、施工机具、资金等方面具有承担本工程施工的能力。</w:t>
      </w:r>
    </w:p>
    <w:p w14:paraId="6F92B9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lang w:val="en-US" w:eastAsia="zh-CN"/>
        </w:rPr>
      </w:pPr>
      <w:r>
        <w:rPr>
          <w:rFonts w:hint="eastAsia" w:asciiTheme="minorEastAsia" w:hAnsiTheme="minorEastAsia" w:cstheme="minorEastAsia"/>
          <w:kern w:val="2"/>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具有有效的道路运输经营许可证或城市建筑垃圾运输处置核准证</w:t>
      </w:r>
      <w:r>
        <w:rPr>
          <w:rFonts w:hint="eastAsia" w:asciiTheme="minorEastAsia" w:hAnsiTheme="minorEastAsia" w:eastAsiaTheme="minorEastAsia" w:cstheme="minorEastAsia"/>
          <w:kern w:val="2"/>
          <w:sz w:val="28"/>
          <w:szCs w:val="28"/>
          <w:highlight w:val="none"/>
          <w:lang w:val="en-US" w:eastAsia="zh-CN"/>
        </w:rPr>
        <w:t>。</w:t>
      </w:r>
    </w:p>
    <w:p w14:paraId="7749CFF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kern w:val="2"/>
          <w:sz w:val="28"/>
          <w:szCs w:val="28"/>
          <w:highlight w:val="none"/>
          <w:u w:val="singl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提供</w:t>
      </w:r>
      <w:r>
        <w:rPr>
          <w:rFonts w:hint="eastAsia" w:asciiTheme="minorEastAsia" w:hAnsiTheme="minorEastAsia" w:eastAsiaTheme="minorEastAsia" w:cstheme="minorEastAsia"/>
          <w:color w:val="FF0000"/>
          <w:kern w:val="2"/>
          <w:sz w:val="28"/>
          <w:szCs w:val="28"/>
          <w:highlight w:val="none"/>
          <w:u w:val="single"/>
          <w:lang w:val="en-US" w:eastAsia="zh-CN"/>
        </w:rPr>
        <w:t>2023</w:t>
      </w:r>
      <w:r>
        <w:rPr>
          <w:rFonts w:hint="eastAsia" w:asciiTheme="minorEastAsia" w:hAnsiTheme="minorEastAsia" w:eastAsiaTheme="minorEastAsia" w:cstheme="minorEastAsia"/>
          <w:kern w:val="2"/>
          <w:sz w:val="28"/>
          <w:szCs w:val="28"/>
          <w:highlight w:val="none"/>
          <w:lang w:val="en-US" w:eastAsia="zh-CN"/>
        </w:rPr>
        <w:t>年至今企业类似项目业绩</w:t>
      </w:r>
      <w:r>
        <w:rPr>
          <w:rFonts w:hint="eastAsia" w:asciiTheme="minorEastAsia" w:hAnsiTheme="minorEastAsia" w:eastAsiaTheme="minorEastAsia" w:cstheme="minorEastAsia"/>
          <w:color w:val="FF0000"/>
          <w:kern w:val="2"/>
          <w:sz w:val="28"/>
          <w:szCs w:val="28"/>
          <w:highlight w:val="none"/>
          <w:u w:val="single"/>
          <w:lang w:val="en-US" w:eastAsia="zh-CN"/>
        </w:rPr>
        <w:t>1</w:t>
      </w:r>
      <w:r>
        <w:rPr>
          <w:rFonts w:hint="eastAsia" w:asciiTheme="minorEastAsia" w:hAnsiTheme="minorEastAsia" w:eastAsiaTheme="minorEastAsia" w:cstheme="minorEastAsia"/>
          <w:kern w:val="2"/>
          <w:sz w:val="28"/>
          <w:szCs w:val="28"/>
          <w:highlight w:val="none"/>
          <w:lang w:val="en-US" w:eastAsia="zh-CN"/>
        </w:rPr>
        <w:t>个</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以</w:t>
      </w:r>
      <w:permStart w:id="12" w:edGrp="everyone"/>
      <w:r>
        <w:rPr>
          <w:rFonts w:hint="eastAsia" w:asciiTheme="minorEastAsia" w:hAnsiTheme="minorEastAsia" w:eastAsiaTheme="minorEastAsia" w:cstheme="minorEastAsia"/>
          <w:kern w:val="2"/>
          <w:sz w:val="28"/>
          <w:szCs w:val="28"/>
          <w:highlight w:val="none"/>
          <w:lang w:val="en-US" w:eastAsia="zh-CN"/>
        </w:rPr>
        <w:t>合同签订时间</w:t>
      </w:r>
      <w:permEnd w:id="12"/>
      <w:r>
        <w:rPr>
          <w:rFonts w:hint="eastAsia" w:asciiTheme="minorEastAsia" w:hAnsiTheme="minorEastAsia" w:eastAsiaTheme="minorEastAsia" w:cstheme="minorEastAsia"/>
          <w:kern w:val="2"/>
          <w:sz w:val="28"/>
          <w:szCs w:val="28"/>
          <w:highlight w:val="none"/>
          <w:lang w:val="en-US" w:eastAsia="zh-CN"/>
        </w:rPr>
        <w:t>为准。类似项目业绩指</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sz w:val="28"/>
          <w:szCs w:val="28"/>
          <w:highlight w:val="none"/>
          <w:u w:val="single"/>
          <w:lang w:val="en-US" w:eastAsia="zh-CN"/>
        </w:rPr>
        <w:t>合同金额不低于</w:t>
      </w:r>
      <w:r>
        <w:rPr>
          <w:rFonts w:hint="eastAsia" w:asciiTheme="minorEastAsia" w:hAnsiTheme="minorEastAsia" w:cstheme="minorEastAsia"/>
          <w:sz w:val="28"/>
          <w:szCs w:val="28"/>
          <w:highlight w:val="none"/>
          <w:u w:val="single"/>
          <w:lang w:val="en-US" w:eastAsia="zh-CN"/>
        </w:rPr>
        <w:t>80</w:t>
      </w:r>
      <w:r>
        <w:rPr>
          <w:rFonts w:hint="eastAsia" w:asciiTheme="minorEastAsia" w:hAnsiTheme="minorEastAsia" w:eastAsiaTheme="minorEastAsia" w:cstheme="minorEastAsia"/>
          <w:sz w:val="28"/>
          <w:szCs w:val="28"/>
          <w:highlight w:val="none"/>
          <w:u w:val="single"/>
          <w:lang w:val="en-US" w:eastAsia="zh-CN"/>
        </w:rPr>
        <w:t>万元的</w:t>
      </w:r>
      <w:r>
        <w:rPr>
          <w:rFonts w:hint="eastAsia" w:asciiTheme="minorEastAsia" w:hAnsiTheme="minorEastAsia" w:cstheme="minorEastAsia"/>
          <w:sz w:val="28"/>
          <w:szCs w:val="28"/>
          <w:highlight w:val="none"/>
          <w:u w:val="single"/>
          <w:lang w:val="en-US" w:eastAsia="zh-CN"/>
        </w:rPr>
        <w:t>土方工程专业分包</w:t>
      </w:r>
      <w:r>
        <w:rPr>
          <w:rFonts w:hint="eastAsia" w:asciiTheme="minorEastAsia" w:hAnsiTheme="minorEastAsia" w:eastAsiaTheme="minorEastAsia" w:cstheme="minorEastAsia"/>
          <w:kern w:val="2"/>
          <w:sz w:val="28"/>
          <w:szCs w:val="28"/>
          <w:highlight w:val="none"/>
          <w:u w:val="single"/>
          <w:lang w:val="en-US" w:eastAsia="zh-CN"/>
        </w:rPr>
        <w:t>业绩</w:t>
      </w:r>
      <w:r>
        <w:rPr>
          <w:rFonts w:hint="eastAsia" w:asciiTheme="minorEastAsia" w:hAnsiTheme="minorEastAsia" w:cstheme="minorEastAsia"/>
          <w:kern w:val="2"/>
          <w:sz w:val="28"/>
          <w:szCs w:val="28"/>
          <w:highlight w:val="none"/>
          <w:u w:val="single"/>
          <w:lang w:val="en-US" w:eastAsia="zh-CN"/>
        </w:rPr>
        <w:t>。</w:t>
      </w:r>
      <w:permEnd w:id="13"/>
    </w:p>
    <w:p w14:paraId="5BEAED2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注：提供业绩合同等复印件或扫描件加盖单位公章装订入响应文件中。</w:t>
      </w:r>
    </w:p>
    <w:p w14:paraId="05EB332F">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ermStart w:id="14" w:edGrp="everyone"/>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）信用要求：供应商（含分公司，不含子公司）不得存在下列情形之一。</w:t>
      </w:r>
    </w:p>
    <w:p w14:paraId="6324A7F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（1）供应商被人民法院列入失信被执行人的；</w:t>
      </w:r>
    </w:p>
    <w:p w14:paraId="3610839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（2）供应商被市场监督管理部门列入企业经营异常名录的；</w:t>
      </w:r>
    </w:p>
    <w:p w14:paraId="3BB2E82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（3）供应商被税务部门列入重大税收违法案件当事人名单的；</w:t>
      </w:r>
    </w:p>
    <w:p w14:paraId="185E81A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（4）供应商在以往承接亳州交通投资控股集团有限公司及下属企业项目过程中被记入“黑名单”的</w:t>
      </w:r>
      <w:permEnd w:id="14"/>
      <w:r>
        <w:rPr>
          <w:rFonts w:hint="eastAsia" w:asciiTheme="minorEastAsia" w:hAnsiTheme="minorEastAsia" w:cstheme="minorEastAsia"/>
          <w:sz w:val="28"/>
          <w:szCs w:val="28"/>
          <w:highlight w:val="none"/>
          <w:lang w:val="en-US" w:eastAsia="zh-CN"/>
        </w:rPr>
        <w:t>。</w:t>
      </w:r>
    </w:p>
    <w:p w14:paraId="64B93F7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w:t>
      </w:r>
      <w:permStart w:id="15"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5"/>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kinsoku/>
        <w:wordWrap/>
        <w:overflowPunct/>
        <w:topLinePunct w:val="0"/>
        <w:autoSpaceDE/>
        <w:autoSpaceDN/>
        <w:bidi w:val="0"/>
        <w:adjustRightInd/>
        <w:snapToGrid/>
        <w:spacing w:line="480" w:lineRule="exact"/>
        <w:ind w:left="839" w:leftChars="266" w:hanging="280" w:hangingChars="100"/>
        <w:textAlignment w:val="auto"/>
        <w:rPr>
          <w:rFonts w:hint="default" w:asciiTheme="minorEastAsia" w:hAnsiTheme="minorEastAsia" w:cstheme="minorEastAsia"/>
          <w:i w:val="0"/>
          <w:iCs w:val="0"/>
          <w:color w:val="FF0000"/>
          <w:sz w:val="28"/>
          <w:szCs w:val="28"/>
          <w:highlight w:val="none"/>
          <w:u w:val="single"/>
          <w:lang w:val="en-US" w:eastAsia="zh-CN"/>
        </w:rPr>
      </w:pPr>
      <w:r>
        <w:rPr>
          <w:rFonts w:hint="eastAsia" w:asciiTheme="minorEastAsia" w:hAnsiTheme="minorEastAsia" w:cstheme="minorEastAsia"/>
          <w:i w:val="0"/>
          <w:iCs w:val="0"/>
          <w:color w:val="auto"/>
          <w:sz w:val="28"/>
          <w:szCs w:val="28"/>
          <w:highlight w:val="none"/>
          <w:u w:val="none"/>
          <w:lang w:val="en-US" w:eastAsia="zh-CN"/>
        </w:rPr>
        <w:t>（一）开启时间（响应文件递交的截止时间）：</w:t>
      </w:r>
      <w:permStart w:id="16" w:edGrp="everyone"/>
      <w:r>
        <w:rPr>
          <w:rFonts w:hint="eastAsia" w:asciiTheme="minorEastAsia" w:hAnsiTheme="minorEastAsia" w:cstheme="minorEastAsia"/>
          <w:i w:val="0"/>
          <w:iCs w:val="0"/>
          <w:color w:val="FF0000"/>
          <w:sz w:val="28"/>
          <w:szCs w:val="28"/>
          <w:highlight w:val="none"/>
          <w:u w:val="single"/>
          <w:lang w:val="en-US" w:eastAsia="zh-CN"/>
        </w:rPr>
        <w:t>2026</w:t>
      </w:r>
      <w:r>
        <w:rPr>
          <w:rFonts w:hint="eastAsia" w:asciiTheme="minorEastAsia" w:hAnsiTheme="minorEastAsia" w:cstheme="minorEastAsia"/>
          <w:i w:val="0"/>
          <w:iCs w:val="0"/>
          <w:color w:val="auto"/>
          <w:sz w:val="28"/>
          <w:szCs w:val="28"/>
          <w:highlight w:val="none"/>
          <w:u w:val="none"/>
          <w:lang w:val="en-US" w:eastAsia="zh-CN"/>
        </w:rPr>
        <w:t>年</w:t>
      </w:r>
      <w:r>
        <w:rPr>
          <w:rFonts w:hint="eastAsia" w:asciiTheme="minorEastAsia" w:hAnsiTheme="minorEastAsia" w:cstheme="minorEastAsia"/>
          <w:i w:val="0"/>
          <w:iCs w:val="0"/>
          <w:color w:val="FF0000"/>
          <w:sz w:val="28"/>
          <w:szCs w:val="28"/>
          <w:highlight w:val="none"/>
          <w:u w:val="single"/>
          <w:lang w:val="en-US" w:eastAsia="zh-CN"/>
        </w:rPr>
        <w:t>4</w:t>
      </w:r>
      <w:r>
        <w:rPr>
          <w:rFonts w:hint="eastAsia" w:asciiTheme="minorEastAsia" w:hAnsiTheme="minorEastAsia" w:cstheme="minorEastAsia"/>
          <w:i w:val="0"/>
          <w:iCs w:val="0"/>
          <w:color w:val="auto"/>
          <w:sz w:val="28"/>
          <w:szCs w:val="28"/>
          <w:highlight w:val="none"/>
          <w:u w:val="none"/>
          <w:lang w:val="en-US" w:eastAsia="zh-CN"/>
        </w:rPr>
        <w:t>月</w:t>
      </w:r>
      <w:r>
        <w:rPr>
          <w:rFonts w:hint="eastAsia" w:asciiTheme="minorEastAsia" w:hAnsiTheme="minorEastAsia" w:cstheme="minorEastAsia"/>
          <w:i w:val="0"/>
          <w:iCs w:val="0"/>
          <w:color w:val="FF0000"/>
          <w:sz w:val="28"/>
          <w:szCs w:val="28"/>
          <w:highlight w:val="none"/>
          <w:u w:val="single"/>
          <w:lang w:val="en-US" w:eastAsia="zh-CN"/>
        </w:rPr>
        <w:t>24</w:t>
      </w:r>
      <w:r>
        <w:rPr>
          <w:rFonts w:hint="eastAsia" w:asciiTheme="minorEastAsia" w:hAnsiTheme="minorEastAsia" w:cstheme="minorEastAsia"/>
          <w:i w:val="0"/>
          <w:iCs w:val="0"/>
          <w:color w:val="auto"/>
          <w:sz w:val="28"/>
          <w:szCs w:val="28"/>
          <w:highlight w:val="none"/>
          <w:u w:val="none"/>
          <w:lang w:val="en-US" w:eastAsia="zh-CN"/>
        </w:rPr>
        <w:t>日</w:t>
      </w:r>
      <w:r>
        <w:rPr>
          <w:rFonts w:hint="eastAsia" w:asciiTheme="minorEastAsia" w:hAnsiTheme="minorEastAsia" w:cstheme="minorEastAsia"/>
          <w:i w:val="0"/>
          <w:iCs w:val="0"/>
          <w:color w:val="FF0000"/>
          <w:sz w:val="28"/>
          <w:szCs w:val="28"/>
          <w:highlight w:val="none"/>
          <w:u w:val="single"/>
          <w:lang w:val="en-US" w:eastAsia="zh-CN"/>
        </w:rPr>
        <w:t>10</w:t>
      </w:r>
      <w:r>
        <w:rPr>
          <w:rFonts w:hint="eastAsia" w:asciiTheme="minorEastAsia" w:hAnsiTheme="minorEastAsia" w:cstheme="minorEastAsia"/>
          <w:i w:val="0"/>
          <w:iCs w:val="0"/>
          <w:color w:val="auto"/>
          <w:sz w:val="28"/>
          <w:szCs w:val="28"/>
          <w:highlight w:val="none"/>
          <w:u w:val="none"/>
          <w:lang w:val="en-US" w:eastAsia="zh-CN"/>
        </w:rPr>
        <w:t>时</w:t>
      </w:r>
      <w:r>
        <w:rPr>
          <w:rFonts w:hint="eastAsia" w:asciiTheme="minorEastAsia" w:hAnsiTheme="minorEastAsia" w:cstheme="minorEastAsia"/>
          <w:i w:val="0"/>
          <w:iCs w:val="0"/>
          <w:color w:val="FF0000"/>
          <w:sz w:val="28"/>
          <w:szCs w:val="28"/>
          <w:highlight w:val="none"/>
          <w:u w:val="single"/>
          <w:lang w:val="en-US" w:eastAsia="zh-CN"/>
        </w:rPr>
        <w:t>00</w:t>
      </w:r>
      <w:r>
        <w:rPr>
          <w:rFonts w:hint="eastAsia" w:asciiTheme="minorEastAsia" w:hAnsiTheme="minorEastAsia" w:cstheme="minorEastAsia"/>
          <w:i w:val="0"/>
          <w:iCs w:val="0"/>
          <w:color w:val="auto"/>
          <w:sz w:val="28"/>
          <w:szCs w:val="28"/>
          <w:highlight w:val="none"/>
          <w:u w:val="none"/>
          <w:lang w:val="en-US" w:eastAsia="zh-CN"/>
        </w:rPr>
        <w:t>分（北京时间）；</w:t>
      </w:r>
      <w:permEnd w:id="16"/>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7" w:edGrp="everyone"/>
      <w:r>
        <w:rPr>
          <w:rFonts w:hint="eastAsia" w:asciiTheme="minorEastAsia" w:hAnsiTheme="minorEastAsia" w:cstheme="minorEastAsia"/>
          <w:i w:val="0"/>
          <w:iCs w:val="0"/>
          <w:color w:val="FF0000"/>
          <w:sz w:val="28"/>
          <w:szCs w:val="28"/>
          <w:highlight w:val="none"/>
          <w:u w:val="single"/>
          <w:lang w:val="en-US" w:eastAsia="zh-CN"/>
        </w:rPr>
        <w:t>安徽省亳州市高新技术产业开发区神农大道与百合路交叉口亳州汽车南站广场西侧（安徽通康建设工程有限公司2楼开标室）</w:t>
      </w:r>
      <w:r>
        <w:rPr>
          <w:rFonts w:hint="eastAsia" w:asciiTheme="minorEastAsia" w:hAnsiTheme="minorEastAsia" w:cstheme="minorEastAsia"/>
          <w:i w:val="0"/>
          <w:iCs w:val="0"/>
          <w:sz w:val="28"/>
          <w:szCs w:val="28"/>
          <w:highlight w:val="none"/>
          <w:lang w:val="en-US" w:eastAsia="zh-CN"/>
        </w:rPr>
        <w:t>；</w:t>
      </w:r>
      <w:permEnd w:id="17"/>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88BDFC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18"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0F77301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D7257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cstheme="minorEastAsia"/>
                <w:color w:val="FF0000"/>
                <w:sz w:val="28"/>
                <w:szCs w:val="28"/>
                <w:highlight w:val="none"/>
                <w:u w:val="single"/>
                <w:lang w:val="en-US" w:eastAsia="zh-CN"/>
              </w:rPr>
              <w:t>邮寄地址：安徽省亳州市高新技术产业开发区神农大道与百合路交叉口亳州汽车南站广场西侧（安徽通康建设工程有限公司3楼法务部）；</w:t>
            </w:r>
          </w:p>
          <w:p w14:paraId="3D338CD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eastAsiaTheme="minorEastAsia" w:cstheme="minorEastAsia"/>
                <w:color w:val="FF0000"/>
                <w:sz w:val="28"/>
                <w:szCs w:val="28"/>
                <w:highlight w:val="none"/>
                <w:u w:val="single"/>
                <w:lang w:val="en-US" w:eastAsia="zh-CN"/>
              </w:rPr>
              <w:t>联系人：李工</w:t>
            </w:r>
            <w:r>
              <w:rPr>
                <w:rFonts w:hint="eastAsia" w:asciiTheme="minorEastAsia" w:hAnsiTheme="minorEastAsia" w:cstheme="minorEastAsia"/>
                <w:color w:val="FF0000"/>
                <w:sz w:val="28"/>
                <w:szCs w:val="28"/>
                <w:highlight w:val="none"/>
                <w:u w:val="single"/>
                <w:lang w:val="en-US" w:eastAsia="zh-CN"/>
              </w:rPr>
              <w:t>；</w:t>
            </w:r>
          </w:p>
          <w:p w14:paraId="379CF71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color w:val="FF0000"/>
                <w:sz w:val="28"/>
                <w:szCs w:val="28"/>
                <w:highlight w:val="none"/>
                <w:u w:val="single"/>
                <w:lang w:val="en-US" w:eastAsia="zh-CN"/>
              </w:rPr>
              <w:t>联系</w:t>
            </w:r>
            <w:r>
              <w:rPr>
                <w:rFonts w:hint="eastAsia" w:asciiTheme="minorEastAsia" w:hAnsiTheme="minorEastAsia" w:eastAsiaTheme="minorEastAsia" w:cstheme="minorEastAsia"/>
                <w:color w:val="FF0000"/>
                <w:sz w:val="28"/>
                <w:szCs w:val="28"/>
                <w:highlight w:val="none"/>
                <w:u w:val="single"/>
                <w:lang w:val="en-US" w:eastAsia="zh-CN"/>
              </w:rPr>
              <w:t>电话：</w:t>
            </w:r>
            <w:r>
              <w:rPr>
                <w:rFonts w:hint="eastAsia" w:asciiTheme="minorEastAsia" w:hAnsiTheme="minorEastAsia" w:cstheme="minorEastAsia"/>
                <w:color w:val="FF0000"/>
                <w:sz w:val="28"/>
                <w:szCs w:val="28"/>
                <w:highlight w:val="none"/>
                <w:u w:val="single"/>
                <w:lang w:val="en-US" w:eastAsia="zh-CN"/>
              </w:rPr>
              <w:t>18305681505。</w:t>
            </w:r>
          </w:p>
        </w:tc>
      </w:tr>
      <w:permEnd w:id="18"/>
    </w:tbl>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19" w:edGrp="everyone"/>
      <w:r>
        <w:rPr>
          <w:rFonts w:hint="eastAsia" w:asciiTheme="minorEastAsia" w:hAnsiTheme="minorEastAsia" w:cstheme="minorEastAsia"/>
          <w:color w:val="FF0000"/>
          <w:sz w:val="28"/>
          <w:szCs w:val="28"/>
          <w:highlight w:val="none"/>
          <w:u w:val="single"/>
          <w:lang w:val="en-US" w:eastAsia="zh-CN"/>
        </w:rPr>
        <w:t>18000.00元</w:t>
      </w:r>
      <w:r>
        <w:rPr>
          <w:rFonts w:hint="default" w:asciiTheme="minorEastAsia" w:hAnsiTheme="minorEastAsia" w:eastAsiaTheme="minorEastAsia" w:cstheme="minorEastAsia"/>
          <w:color w:val="FF0000"/>
          <w:sz w:val="28"/>
          <w:szCs w:val="28"/>
          <w:highlight w:val="none"/>
          <w:lang w:val="en-US" w:eastAsia="zh-CN"/>
        </w:rPr>
        <w:t>（人民币）</w:t>
      </w:r>
      <w:permEnd w:id="19"/>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0"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3FFDEC8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p>
    <w:permEnd w:id="20"/>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1" w:edGrp="everyone"/>
      <w:r>
        <w:rPr>
          <w:rFonts w:hint="eastAsia" w:asciiTheme="minorEastAsia" w:hAnsiTheme="minorEastAsia" w:cstheme="minorEastAsia"/>
          <w:sz w:val="28"/>
          <w:szCs w:val="28"/>
          <w:highlight w:val="none"/>
          <w:lang w:val="en-US" w:eastAsia="zh-CN"/>
        </w:rPr>
        <w:t xml:space="preserve">杜经理 </w:t>
      </w:r>
      <w:permEnd w:id="21"/>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19155250522</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18305681505（工作日8:00-12:00，14:30-17:30）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4C40A2C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2"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14:paraId="007AF3BE">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2026</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4</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17</w:t>
      </w:r>
      <w:r>
        <w:rPr>
          <w:rFonts w:hint="eastAsia" w:asciiTheme="minorEastAsia" w:hAnsiTheme="minorEastAsia" w:eastAsiaTheme="minorEastAsia" w:cstheme="minorEastAsia"/>
          <w:color w:val="FF0000"/>
          <w:sz w:val="28"/>
          <w:szCs w:val="28"/>
          <w:highlight w:val="none"/>
          <w:lang w:val="en-US" w:eastAsia="zh-CN"/>
        </w:rPr>
        <w:t>日</w:t>
      </w:r>
    </w:p>
    <w:permEnd w:id="22"/>
    <w:p w14:paraId="066A0CD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3"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3"/>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4"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4"/>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5" w:edGrp="everyone"/>
            <w:r>
              <w:rPr>
                <w:rFonts w:hint="eastAsia" w:ascii="Times New Roman" w:hAnsi="Times New Roman" w:cs="Times New Roman"/>
                <w:b/>
                <w:bCs/>
                <w:color w:val="FF0000"/>
                <w:szCs w:val="21"/>
                <w:highlight w:val="none"/>
                <w:u w:val="single"/>
                <w:lang w:val="en-US" w:eastAsia="zh-CN"/>
              </w:rPr>
              <w:t>2026</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4</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24</w:t>
            </w:r>
            <w:r>
              <w:rPr>
                <w:rFonts w:hint="eastAsia" w:ascii="Times New Roman" w:hAnsi="Times New Roman" w:cs="Times New Roman"/>
                <w:b/>
                <w:bCs/>
                <w:color w:val="FF0000"/>
                <w:szCs w:val="21"/>
                <w:highlight w:val="none"/>
                <w:u w:val="none"/>
                <w:lang w:val="en-US" w:eastAsia="zh-CN"/>
              </w:rPr>
              <w:t>日前</w:t>
            </w:r>
            <w:permEnd w:id="25"/>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6"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6"/>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7"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7"/>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28"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8"/>
            <w:r>
              <w:rPr>
                <w:rFonts w:hint="default" w:ascii="Times New Roman" w:hAnsi="Times New Roman" w:cs="Times New Roman"/>
                <w:szCs w:val="21"/>
                <w:highlight w:val="none"/>
              </w:rPr>
              <w:t>的形式：</w:t>
            </w:r>
            <w:permStart w:id="29" w:edGrp="everyone"/>
            <w:r>
              <w:rPr>
                <w:rFonts w:hint="default" w:ascii="Times New Roman" w:hAnsi="Times New Roman" w:cs="Times New Roman"/>
                <w:b/>
                <w:bCs/>
                <w:color w:val="FF0000"/>
                <w:szCs w:val="21"/>
                <w:highlight w:val="none"/>
              </w:rPr>
              <w:t>银行汇款或转账</w:t>
            </w:r>
            <w:permEnd w:id="29"/>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0" w:edGrp="everyone"/>
            <w:r>
              <w:rPr>
                <w:rFonts w:hint="eastAsia" w:ascii="Times New Roman" w:hAnsi="Times New Roman" w:cs="Times New Roman"/>
                <w:b/>
                <w:bCs/>
                <w:color w:val="FF0000"/>
                <w:szCs w:val="21"/>
                <w:highlight w:val="none"/>
                <w:u w:val="single"/>
                <w:lang w:val="en-US" w:eastAsia="zh-CN"/>
              </w:rPr>
              <w:t>18000.00元</w:t>
            </w:r>
            <w:permEnd w:id="30"/>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252F1CB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14:paraId="751BB97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1" w:edGrp="everyone"/>
            <w:r>
              <w:rPr>
                <w:rFonts w:hint="eastAsia" w:ascii="Times New Roman" w:hAnsi="Times New Roman" w:cs="Times New Roman"/>
                <w:b/>
                <w:bCs/>
                <w:color w:val="FF0000"/>
                <w:szCs w:val="21"/>
                <w:highlight w:val="none"/>
                <w:lang w:val="en-US" w:eastAsia="zh-CN"/>
              </w:rPr>
              <w:t>AHTKJS-2026-016号保证金</w:t>
            </w:r>
            <w:permEnd w:id="31"/>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2"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2"/>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0FF93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3"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安徽省亳州市高新技术产业开发区神农大道与百合路交叉口亳州汽车南站广场西侧（安徽通康建设工程有限公司2楼开标室）</w:t>
            </w:r>
          </w:p>
          <w:p w14:paraId="78DB56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华佗中医药文化传承创新示范项目配套附属用房工程土方工程专业分包</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项目编号：AHTKJS-2026-016号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2026</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4</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24</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10</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bookmarkStart w:id="317" w:name="_GoBack"/>
            <w:bookmarkEnd w:id="317"/>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3"/>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E13E5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7513ADE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4"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18305681505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permEnd w:id="34"/>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5"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5"/>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6"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6"/>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14:paraId="192B40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14:paraId="0A99DF7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szCs w:val="21"/>
                <w:highlight w:val="none"/>
              </w:rPr>
              <w:t>履约担保的形式：</w:t>
            </w:r>
            <w:permStart w:id="37"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w:t>
            </w:r>
          </w:p>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成交价款的10%</w:t>
            </w:r>
            <w:permEnd w:id="37"/>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8" w:edGrp="everyone"/>
            <w:r>
              <w:rPr>
                <w:rFonts w:hint="default" w:ascii="Times New Roman" w:hAnsi="Times New Roman" w:cs="Times New Roman"/>
                <w:color w:val="FF0000"/>
                <w:szCs w:val="21"/>
                <w:highlight w:val="none"/>
              </w:rPr>
              <w:t>无违约行为发生或违约行为已处理的情况下</w:t>
            </w:r>
            <w:r>
              <w:rPr>
                <w:rFonts w:hint="eastAsia" w:ascii="Times New Roman" w:hAnsi="Times New Roman" w:cs="Times New Roman"/>
                <w:color w:val="FF0000"/>
                <w:szCs w:val="21"/>
                <w:highlight w:val="none"/>
                <w:lang w:eastAsia="zh-CN"/>
              </w:rPr>
              <w:t>，</w:t>
            </w:r>
            <w:r>
              <w:rPr>
                <w:rFonts w:hint="eastAsia" w:ascii="Times New Roman" w:hAnsi="Times New Roman" w:cs="Times New Roman"/>
                <w:color w:val="FF0000"/>
                <w:szCs w:val="21"/>
                <w:highlight w:val="none"/>
                <w:lang w:val="en-US" w:eastAsia="zh-CN"/>
              </w:rPr>
              <w:t>项目竣工验收合格且工程无质量问题（或质量问题已解决）后退</w:t>
            </w:r>
            <w:r>
              <w:rPr>
                <w:rFonts w:hint="default" w:ascii="Times New Roman" w:hAnsi="Times New Roman" w:cs="Times New Roman"/>
                <w:color w:val="FF0000"/>
                <w:szCs w:val="21"/>
                <w:highlight w:val="none"/>
              </w:rPr>
              <w:t>还</w:t>
            </w:r>
            <w:r>
              <w:rPr>
                <w:rFonts w:hint="eastAsia" w:ascii="Times New Roman" w:hAnsi="Times New Roman" w:cs="Times New Roman"/>
                <w:color w:val="FF0000"/>
                <w:szCs w:val="21"/>
                <w:highlight w:val="none"/>
                <w:lang w:val="en-US" w:eastAsia="zh-CN"/>
              </w:rPr>
              <w:t>全部</w:t>
            </w:r>
            <w:r>
              <w:rPr>
                <w:rFonts w:hint="default" w:ascii="Times New Roman" w:hAnsi="Times New Roman" w:cs="Times New Roman"/>
                <w:color w:val="FF0000"/>
                <w:szCs w:val="21"/>
                <w:highlight w:val="none"/>
              </w:rPr>
              <w:t>履约保证金（本金</w:t>
            </w:r>
            <w:r>
              <w:rPr>
                <w:rFonts w:hint="eastAsia" w:ascii="Times New Roman" w:hAnsi="Times New Roman" w:cs="Times New Roman"/>
                <w:color w:val="FF0000"/>
                <w:szCs w:val="21"/>
                <w:highlight w:val="none"/>
                <w:lang w:val="en-US" w:eastAsia="zh-CN"/>
              </w:rPr>
              <w:t>无息</w:t>
            </w:r>
            <w:r>
              <w:rPr>
                <w:rFonts w:hint="default" w:ascii="Times New Roman" w:hAnsi="Times New Roman" w:cs="Times New Roman"/>
                <w:color w:val="FF0000"/>
                <w:szCs w:val="21"/>
                <w:highlight w:val="none"/>
              </w:rPr>
              <w:t>）</w:t>
            </w:r>
            <w:r>
              <w:rPr>
                <w:rFonts w:hint="default" w:ascii="Times New Roman" w:hAnsi="Times New Roman" w:cs="Times New Roman"/>
                <w:szCs w:val="21"/>
                <w:highlight w:val="none"/>
              </w:rPr>
              <w:t>。</w:t>
            </w:r>
            <w:permEnd w:id="38"/>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247085692"/>
      <w:bookmarkStart w:id="1" w:name="_Toc246996921"/>
      <w:bookmarkStart w:id="2" w:name="_Toc246996178"/>
      <w:bookmarkStart w:id="3" w:name="_Toc179632549"/>
      <w:bookmarkStart w:id="4" w:name="_Toc296602423"/>
      <w:bookmarkStart w:id="5" w:name="_Toc144974500"/>
      <w:bookmarkStart w:id="6" w:name="_Toc152042308"/>
      <w:bookmarkStart w:id="7" w:name="_Toc152045532"/>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246996181"/>
      <w:bookmarkStart w:id="9" w:name="_Toc246996924"/>
      <w:bookmarkStart w:id="10" w:name="_Toc247085695"/>
      <w:bookmarkStart w:id="11" w:name="_Toc152042312"/>
      <w:bookmarkStart w:id="12" w:name="_Toc179632553"/>
      <w:bookmarkStart w:id="13" w:name="_Toc152045536"/>
      <w:bookmarkStart w:id="14" w:name="_Toc144974504"/>
      <w:bookmarkStart w:id="15" w:name="_Toc296602426"/>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179632554"/>
      <w:bookmarkStart w:id="18" w:name="_Toc247085696"/>
      <w:bookmarkStart w:id="19" w:name="_Toc152045537"/>
      <w:bookmarkStart w:id="20" w:name="_Toc246996182"/>
      <w:bookmarkStart w:id="21" w:name="_Toc152042313"/>
      <w:bookmarkStart w:id="22" w:name="_Toc296602427"/>
      <w:bookmarkStart w:id="23" w:name="_Toc246996925"/>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179632555"/>
      <w:bookmarkStart w:id="25" w:name="_Toc246996183"/>
      <w:bookmarkStart w:id="26" w:name="_Toc152045538"/>
      <w:bookmarkStart w:id="27" w:name="_Toc152042314"/>
      <w:bookmarkStart w:id="28" w:name="_Toc246996926"/>
      <w:bookmarkStart w:id="29" w:name="_Toc247085697"/>
      <w:bookmarkStart w:id="30" w:name="_Toc144974506"/>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152042318"/>
      <w:bookmarkStart w:id="32" w:name="_Toc246996187"/>
      <w:bookmarkStart w:id="33" w:name="_Toc246996930"/>
      <w:bookmarkStart w:id="34" w:name="_Toc144974510"/>
      <w:bookmarkStart w:id="35" w:name="_Toc152045542"/>
      <w:bookmarkStart w:id="36" w:name="_Toc247085701"/>
      <w:bookmarkStart w:id="37" w:name="_Toc296602432"/>
      <w:bookmarkStart w:id="38" w:name="_Toc179632560"/>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144974511"/>
      <w:bookmarkStart w:id="40" w:name="_Toc246996188"/>
      <w:bookmarkStart w:id="41" w:name="_Toc179632561"/>
      <w:bookmarkStart w:id="42" w:name="_Toc247085702"/>
      <w:bookmarkStart w:id="43" w:name="_Toc296602433"/>
      <w:bookmarkStart w:id="44" w:name="_Toc152045543"/>
      <w:bookmarkStart w:id="45" w:name="_Toc152042319"/>
      <w:bookmarkStart w:id="46" w:name="_Toc246996931"/>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44974512"/>
      <w:bookmarkStart w:id="48" w:name="_Toc152042320"/>
      <w:bookmarkStart w:id="49" w:name="_Toc246996189"/>
      <w:bookmarkStart w:id="50" w:name="_Toc246996932"/>
      <w:bookmarkStart w:id="51" w:name="_Toc247085703"/>
      <w:bookmarkStart w:id="52" w:name="_Toc152045544"/>
      <w:bookmarkStart w:id="53" w:name="_Toc179632562"/>
      <w:bookmarkStart w:id="54" w:name="_Toc296602434"/>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144974513"/>
      <w:bookmarkStart w:id="56" w:name="_Toc296602435"/>
      <w:bookmarkStart w:id="57" w:name="_Toc152045545"/>
      <w:bookmarkStart w:id="58" w:name="_Toc246996933"/>
      <w:bookmarkStart w:id="59" w:name="_Toc152042321"/>
      <w:bookmarkStart w:id="60" w:name="_Toc247085704"/>
      <w:bookmarkStart w:id="61" w:name="_Toc179632563"/>
      <w:bookmarkStart w:id="62" w:name="_Toc246996190"/>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246996191"/>
      <w:bookmarkStart w:id="64" w:name="_Toc152042322"/>
      <w:bookmarkStart w:id="65" w:name="_Toc152045546"/>
      <w:bookmarkStart w:id="66" w:name="_Toc179632564"/>
      <w:bookmarkStart w:id="67" w:name="_Toc296602436"/>
      <w:bookmarkStart w:id="68" w:name="_Toc246996934"/>
      <w:bookmarkStart w:id="69" w:name="_Toc144974514"/>
      <w:bookmarkStart w:id="70" w:name="_Toc247085705"/>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5"/>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246996192"/>
      <w:bookmarkStart w:id="72" w:name="_Toc152042323"/>
      <w:bookmarkStart w:id="73" w:name="_Toc246996935"/>
      <w:bookmarkStart w:id="74" w:name="_Toc247085706"/>
      <w:bookmarkStart w:id="75" w:name="_Toc179632565"/>
      <w:bookmarkStart w:id="76" w:name="_Toc296602437"/>
      <w:bookmarkStart w:id="77" w:name="_Toc152045547"/>
      <w:bookmarkStart w:id="78" w:name="_Toc14497451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5"/>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246996193"/>
      <w:bookmarkStart w:id="80" w:name="_Toc179632566"/>
      <w:bookmarkStart w:id="81" w:name="_Toc152042324"/>
      <w:bookmarkStart w:id="82" w:name="_Toc247085707"/>
      <w:bookmarkStart w:id="83" w:name="_Toc144974516"/>
      <w:bookmarkStart w:id="84" w:name="_Toc296602438"/>
      <w:bookmarkStart w:id="85" w:name="_Toc246996936"/>
      <w:bookmarkStart w:id="86" w:name="_Toc152045548"/>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79632567"/>
      <w:bookmarkStart w:id="88" w:name="_Toc152042325"/>
      <w:bookmarkStart w:id="89" w:name="_Toc152045549"/>
      <w:bookmarkStart w:id="90" w:name="_Toc14497451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46996194"/>
      <w:bookmarkStart w:id="92" w:name="_Toc296602439"/>
      <w:bookmarkStart w:id="93" w:name="_Toc247085708"/>
      <w:bookmarkStart w:id="94" w:name="_Toc246996937"/>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6996942"/>
      <w:bookmarkStart w:id="96" w:name="_Toc246996199"/>
      <w:bookmarkStart w:id="97" w:name="_Toc296602443"/>
      <w:bookmarkStart w:id="98" w:name="_Toc144974523"/>
      <w:bookmarkStart w:id="99" w:name="_Toc247085713"/>
      <w:bookmarkStart w:id="100" w:name="_Toc179632573"/>
      <w:bookmarkStart w:id="101" w:name="_Toc152045555"/>
      <w:bookmarkStart w:id="102" w:name="_Toc152042331"/>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52045556"/>
      <w:bookmarkStart w:id="104" w:name="_Toc296602444"/>
      <w:bookmarkStart w:id="105" w:name="_Toc246996943"/>
      <w:bookmarkStart w:id="106" w:name="_Toc246996200"/>
      <w:bookmarkStart w:id="107" w:name="_Toc144974524"/>
      <w:bookmarkStart w:id="108" w:name="_Toc152042332"/>
      <w:bookmarkStart w:id="109" w:name="_Toc247085714"/>
      <w:bookmarkStart w:id="110" w:name="_Toc179632574"/>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152042333"/>
      <w:bookmarkStart w:id="112" w:name="_Toc179632575"/>
      <w:bookmarkStart w:id="113" w:name="_Toc144974525"/>
      <w:bookmarkStart w:id="114" w:name="_Toc152045557"/>
      <w:bookmarkStart w:id="115" w:name="_Toc247085715"/>
      <w:bookmarkStart w:id="116" w:name="_Toc246996201"/>
      <w:bookmarkStart w:id="117" w:name="_Toc246996944"/>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246996945"/>
      <w:bookmarkStart w:id="119" w:name="_Toc179632576"/>
      <w:bookmarkStart w:id="120" w:name="_Toc152042334"/>
      <w:bookmarkStart w:id="121" w:name="_Toc144974526"/>
      <w:bookmarkStart w:id="122" w:name="_Toc152045558"/>
      <w:bookmarkStart w:id="123" w:name="_Toc246996202"/>
      <w:bookmarkStart w:id="124" w:name="_Toc247085716"/>
      <w:bookmarkStart w:id="125" w:name="_Toc296602446"/>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246996946"/>
      <w:bookmarkStart w:id="127" w:name="_Toc246996203"/>
      <w:bookmarkStart w:id="128" w:name="_Toc152042335"/>
      <w:bookmarkStart w:id="129" w:name="_Toc247085717"/>
      <w:bookmarkStart w:id="130" w:name="_Toc144974527"/>
      <w:bookmarkStart w:id="131" w:name="_Toc179632577"/>
      <w:bookmarkStart w:id="132" w:name="_Toc152045559"/>
      <w:bookmarkStart w:id="133" w:name="_Toc296602447"/>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179632578"/>
      <w:bookmarkStart w:id="135" w:name="_Toc246996947"/>
      <w:bookmarkStart w:id="136" w:name="_Toc246996204"/>
      <w:bookmarkStart w:id="137" w:name="_Toc247085718"/>
      <w:bookmarkStart w:id="138" w:name="_Toc296602448"/>
      <w:bookmarkStart w:id="139" w:name="_Toc152042336"/>
      <w:bookmarkStart w:id="140" w:name="_Toc144974528"/>
      <w:bookmarkStart w:id="141" w:name="_Toc152045560"/>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296602449"/>
      <w:bookmarkStart w:id="143" w:name="_Toc179632579"/>
      <w:bookmarkStart w:id="144" w:name="_Toc246996205"/>
      <w:bookmarkStart w:id="145" w:name="_Toc152042337"/>
      <w:bookmarkStart w:id="146" w:name="_Toc246996948"/>
      <w:bookmarkStart w:id="147" w:name="_Toc152045561"/>
      <w:bookmarkStart w:id="148" w:name="_Toc144974529"/>
      <w:bookmarkStart w:id="149" w:name="_Toc247085719"/>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（10）在评审过程中，评审委员会发现供应商以他人的名义响应、串通响应、以行贿手段谋取成交或者以其他弄虚作假方式响应的；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52042339"/>
      <w:bookmarkStart w:id="151" w:name="_Toc246996207"/>
      <w:bookmarkStart w:id="152" w:name="_Toc296602452"/>
      <w:bookmarkStart w:id="153" w:name="_Toc179632581"/>
      <w:bookmarkStart w:id="154" w:name="_Toc247085721"/>
      <w:bookmarkStart w:id="155" w:name="_Toc152045563"/>
      <w:bookmarkStart w:id="156" w:name="_Toc246996950"/>
      <w:bookmarkStart w:id="157" w:name="_Toc144974531"/>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179632584"/>
      <w:bookmarkStart w:id="159" w:name="_Toc152045566"/>
      <w:bookmarkStart w:id="160" w:name="_Toc152042342"/>
      <w:bookmarkStart w:id="161" w:name="_Toc246996210"/>
      <w:bookmarkStart w:id="162" w:name="_Toc144974534"/>
      <w:bookmarkStart w:id="163" w:name="_Toc247085724"/>
      <w:bookmarkStart w:id="164" w:name="_Toc296602455"/>
      <w:bookmarkStart w:id="165" w:name="_Toc246996953"/>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46996954"/>
      <w:bookmarkStart w:id="167" w:name="_Toc152042343"/>
      <w:bookmarkStart w:id="168" w:name="_Toc247085725"/>
      <w:bookmarkStart w:id="169" w:name="_Toc152045567"/>
      <w:bookmarkStart w:id="170" w:name="_Toc179632585"/>
      <w:bookmarkStart w:id="171" w:name="_Toc296602456"/>
      <w:bookmarkStart w:id="172" w:name="_Toc144974535"/>
      <w:bookmarkStart w:id="173" w:name="_Toc246996211"/>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247085726"/>
      <w:bookmarkStart w:id="176" w:name="_Toc152045568"/>
      <w:bookmarkStart w:id="177" w:name="_Toc179632586"/>
      <w:bookmarkStart w:id="178" w:name="_Toc246996212"/>
      <w:bookmarkStart w:id="179" w:name="_Toc246996955"/>
      <w:bookmarkStart w:id="180" w:name="_Toc152042344"/>
      <w:bookmarkStart w:id="181" w:name="_Toc296602458"/>
      <w:bookmarkStart w:id="182" w:name="_Toc144974536"/>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w:t>
      </w:r>
      <w:r>
        <w:rPr>
          <w:rFonts w:hint="eastAsia"/>
          <w:lang w:eastAsia="zh-CN"/>
        </w:rPr>
        <w:t>成交</w:t>
      </w:r>
      <w:r>
        <w:rPr>
          <w:rFonts w:hint="eastAsia"/>
        </w:rPr>
        <w:t>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152042345"/>
      <w:bookmarkStart w:id="184" w:name="_Toc144974537"/>
      <w:bookmarkStart w:id="185" w:name="_Toc296602459"/>
      <w:bookmarkStart w:id="186" w:name="_Toc247085727"/>
      <w:bookmarkStart w:id="187" w:name="_Toc152045569"/>
      <w:bookmarkStart w:id="188" w:name="_Toc246996956"/>
      <w:bookmarkStart w:id="189" w:name="_Toc246996213"/>
      <w:bookmarkStart w:id="190" w:name="_Toc179632587"/>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296590983"/>
      <w:bookmarkStart w:id="193" w:name="_Toc247085733"/>
      <w:bookmarkStart w:id="194" w:name="_Toc152045575"/>
      <w:bookmarkStart w:id="195" w:name="_Toc144974543"/>
      <w:bookmarkStart w:id="196" w:name="_Toc152042351"/>
      <w:bookmarkStart w:id="197" w:name="_Toc246996219"/>
      <w:bookmarkStart w:id="198" w:name="_Toc296602462"/>
      <w:bookmarkStart w:id="199" w:name="_Toc179632593"/>
      <w:bookmarkStart w:id="200" w:name="_Toc246996962"/>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4"/>
        <w:bidi w:val="0"/>
        <w:rPr>
          <w:rFonts w:hint="eastAsia" w:eastAsia="黑体"/>
          <w:lang w:eastAsia="zh-CN"/>
        </w:rPr>
      </w:pPr>
      <w:bookmarkStart w:id="201" w:name="_Toc144974544"/>
      <w:bookmarkStart w:id="202" w:name="_Toc246996220"/>
      <w:bookmarkStart w:id="203" w:name="_Toc246996963"/>
      <w:bookmarkStart w:id="204" w:name="_Toc247085734"/>
      <w:bookmarkStart w:id="205" w:name="_Toc152045576"/>
      <w:bookmarkStart w:id="206" w:name="_Toc179632594"/>
      <w:bookmarkStart w:id="207" w:name="_Toc152042352"/>
      <w:bookmarkStart w:id="208" w:name="_Toc296602463"/>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w:t>
      </w:r>
      <w:r>
        <w:rPr>
          <w:rFonts w:hint="eastAsia"/>
          <w:lang w:eastAsia="zh-CN"/>
        </w:rPr>
        <w:t>成交</w:t>
      </w:r>
      <w:r>
        <w:rPr>
          <w:rFonts w:hint="eastAsia"/>
        </w:rPr>
        <w:t>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179632595"/>
      <w:bookmarkStart w:id="210" w:name="_Toc296602464"/>
      <w:bookmarkStart w:id="211" w:name="_Toc152045577"/>
      <w:bookmarkStart w:id="212" w:name="_Toc247085735"/>
      <w:bookmarkStart w:id="213" w:name="_Toc246996221"/>
      <w:bookmarkStart w:id="214" w:name="_Toc246996964"/>
      <w:bookmarkStart w:id="215" w:name="_Toc152042353"/>
      <w:bookmarkStart w:id="216" w:name="_Toc144974545"/>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39" w:edGrp="everyone"/>
      <w:r>
        <w:rPr>
          <w:rFonts w:hint="eastAsia" w:ascii="宋体" w:hAnsi="宋体"/>
          <w:color w:val="FF0000"/>
          <w:sz w:val="24"/>
          <w:lang w:val="en-US" w:eastAsia="zh-CN"/>
        </w:rPr>
        <w:t>最低评审价法</w:t>
      </w:r>
      <w:permEnd w:id="39"/>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7584E5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F3DB7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179632607"/>
            <w:bookmarkStart w:id="218" w:name="_Toc296602477"/>
            <w:bookmarkStart w:id="219" w:name="_Toc246996232"/>
            <w:bookmarkStart w:id="220" w:name="_Toc247085747"/>
            <w:bookmarkStart w:id="221" w:name="_Toc152042366"/>
            <w:bookmarkStart w:id="222" w:name="_Toc152045589"/>
            <w:bookmarkStart w:id="223" w:name="_Toc246996975"/>
            <w:bookmarkStart w:id="224" w:name="_Toc144974556"/>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51D4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C3B2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2204CD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3D626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DB62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ECF58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与营业执照一致</w:t>
            </w:r>
          </w:p>
        </w:tc>
      </w:tr>
      <w:tr w14:paraId="6A0887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97A7F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92DF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709E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66D01B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7C18C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92E65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586E8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847E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AD5FB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54413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3C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44A6B6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7F3B45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58C7F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6CE6CD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56F5AC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0DC46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08FE6A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64147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48A51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8E56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26FE36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209E62">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1D074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253E2D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37ABA2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DECE8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768624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41ACC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AE885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793AF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186622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BA7CC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625CB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2CFAE6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3CBD2F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E7BB1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2B9F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014CE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15599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3D6E1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CC9CD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24A0699">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247085751"/>
      <w:bookmarkStart w:id="226" w:name="_Toc246996236"/>
      <w:bookmarkStart w:id="227" w:name="_Toc179632611"/>
      <w:bookmarkStart w:id="228" w:name="_Toc246996979"/>
      <w:bookmarkStart w:id="229" w:name="_Toc152042370"/>
      <w:bookmarkStart w:id="230" w:name="_Toc152045593"/>
      <w:bookmarkStart w:id="231" w:name="_Toc144974560"/>
      <w:bookmarkStart w:id="232" w:name="_Toc296602481"/>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152045596"/>
      <w:bookmarkStart w:id="235" w:name="_Toc246996982"/>
      <w:bookmarkStart w:id="236" w:name="_Toc296602484"/>
      <w:bookmarkStart w:id="237" w:name="_Toc247085754"/>
      <w:bookmarkStart w:id="238" w:name="_Toc246996239"/>
      <w:bookmarkStart w:id="239" w:name="_Toc152042373"/>
      <w:bookmarkStart w:id="240" w:name="_Toc179632614"/>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0"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0"/>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4F6DE02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heme="minorEastAsia" w:hAnsiTheme="minorEastAsia" w:eastAsiaTheme="minorEastAsia" w:cstheme="minorEastAsia"/>
                <w:kern w:val="2"/>
                <w:sz w:val="28"/>
                <w:szCs w:val="28"/>
                <w:highlight w:val="none"/>
                <w:lang w:val="en-US" w:eastAsia="zh-CN"/>
              </w:rPr>
              <w:t xml:space="preserve"> </w:t>
            </w:r>
            <w:r>
              <w:rPr>
                <w:rFonts w:hint="eastAsia" w:ascii="Times New Roman" w:hAnsi="Times New Roman" w:cs="Times New Roman"/>
                <w:kern w:val="0"/>
                <w:sz w:val="24"/>
                <w:szCs w:val="24"/>
                <w:highlight w:val="none"/>
                <w:shd w:val="clear" w:color="auto" w:fill="auto"/>
                <w:vertAlign w:val="baseline"/>
                <w:lang w:val="en-US" w:eastAsia="zh-CN"/>
              </w:rPr>
              <w:t>无预付款，当月进度完成时，支付当期已完工合格工程量价款的85%；竣工验收通过后（五方责任主体验收通过），工程款付至累计产值合格价款的90%，工程结算审核完成后付至最终结算价款的97%，余款3%作为质保金，待质保期满且无质量问题或质量问题已解决后无息支付。</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r>
              <w:rPr>
                <w:rFonts w:hint="eastAsia" w:asciiTheme="minorEastAsia" w:hAnsiTheme="minorEastAsia" w:eastAsiaTheme="minorEastAsia" w:cstheme="minorEastAsia"/>
                <w:kern w:val="2"/>
                <w:sz w:val="28"/>
                <w:szCs w:val="28"/>
                <w:highlight w:val="none"/>
                <w:lang w:val="en-US" w:eastAsia="zh-CN"/>
              </w:rPr>
              <w:t>,</w:t>
            </w:r>
            <w:r>
              <w:rPr>
                <w:rFonts w:hint="eastAsia" w:ascii="Times New Roman" w:hAnsi="Times New Roman" w:cs="Times New Roman"/>
                <w:kern w:val="0"/>
                <w:sz w:val="24"/>
                <w:szCs w:val="24"/>
                <w:highlight w:val="none"/>
                <w:shd w:val="clear" w:color="auto" w:fill="auto"/>
                <w:vertAlign w:val="baseline"/>
                <w:lang w:val="en-US" w:eastAsia="zh-CN"/>
              </w:rPr>
              <w:t>且采购人不承担任何违约责任。</w:t>
            </w:r>
          </w:p>
        </w:tc>
      </w:tr>
      <w:tr w14:paraId="4B6847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3C2C27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46DDAD8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14:paraId="52930E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自项目竣工验收合格之日起2年。</w:t>
            </w:r>
          </w:p>
        </w:tc>
      </w:tr>
      <w:tr w14:paraId="211CB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F4315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14:paraId="080C252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主要合同条款</w:t>
            </w:r>
          </w:p>
        </w:tc>
        <w:tc>
          <w:tcPr>
            <w:tcW w:w="6253" w:type="dxa"/>
            <w:vAlign w:val="center"/>
          </w:tcPr>
          <w:p w14:paraId="637670F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1、对成交人未按要求到岗履约人员将处于500元/人/天的处罚，处罚金额将从工程款中予以扣除。</w:t>
            </w:r>
          </w:p>
          <w:p w14:paraId="7A8E828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2、由于建设单位未支付工程款等原因导致工程款未及时发放，成交人不得擅自采取停工、上访等措施，否则由此造成的采购人一切经济损失、法律责任由成交人承担。</w:t>
            </w:r>
          </w:p>
          <w:p w14:paraId="5B8EF2A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3、工程进度款与质量挂钩，若所报工程的质量达不到验收规范要求、形象进度与工程资料达不到合同要求，采购人有权暂缓支付该部分工程款，成交人应承担相应损失。</w:t>
            </w:r>
          </w:p>
          <w:p w14:paraId="1C98555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4、成交人应无条件配合采购人现场安全文明施工，包括不限于过程中的的洒水、清扫、覆盖、冲洗等，所需的一切辅助工作以及其他专业分包单位所需的配合工作。</w:t>
            </w:r>
          </w:p>
          <w:p w14:paraId="1B069F8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5、出现工程量清单错误时，不予调整合同价格(设计变更、经济签证、工程联系单等除外)。</w:t>
            </w:r>
          </w:p>
          <w:p w14:paraId="3B4A0A4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6、成交人的响应报价(签约合同价款)是成交人基于采购人提供的资料和现场数据及成交人的解释和现场考察计算出来的，覆盖了完成合同义务所包括的一切工作，不得以漏项或考虑不周提出索赔。</w:t>
            </w:r>
          </w:p>
          <w:p w14:paraId="1E16C24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7、成交人施工进度必须满足建设及采购人单位要求，如达不到要求，采购人有权安排其它队伍进场抢工，相关费用由成交人承担。</w:t>
            </w:r>
          </w:p>
        </w:tc>
      </w:tr>
    </w:tbl>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numPr>
          <w:ilvl w:val="0"/>
          <w:numId w:val="1"/>
        </w:numPr>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采购需求</w:t>
      </w:r>
    </w:p>
    <w:p w14:paraId="28E05123">
      <w:pPr>
        <w:pStyle w:val="2"/>
        <w:numPr>
          <w:ilvl w:val="0"/>
          <w:numId w:val="0"/>
        </w:numPr>
        <w:rPr>
          <w:rFonts w:hint="eastAsia" w:asciiTheme="minorEastAsia" w:hAnsiTheme="minorEastAsia" w:eastAsiaTheme="minorEastAsia" w:cstheme="minorEastAsia"/>
          <w:kern w:val="2"/>
          <w:sz w:val="28"/>
          <w:szCs w:val="28"/>
          <w:highlight w:val="none"/>
          <w:lang w:val="en-US" w:eastAsia="zh-CN" w:bidi="ar-SA"/>
        </w:rPr>
      </w:pPr>
      <w:r>
        <w:rPr>
          <w:rFonts w:hint="eastAsia" w:asciiTheme="minorEastAsia" w:hAnsiTheme="minorEastAsia" w:eastAsiaTheme="minorEastAsia" w:cstheme="minorEastAsia"/>
          <w:kern w:val="2"/>
          <w:sz w:val="28"/>
          <w:szCs w:val="28"/>
          <w:highlight w:val="none"/>
          <w:lang w:val="en-US" w:eastAsia="zh-CN" w:bidi="ar-SA"/>
        </w:rPr>
        <w:t>一</w:t>
      </w:r>
      <w:r>
        <w:rPr>
          <w:rFonts w:hint="eastAsia" w:asciiTheme="minorEastAsia" w:hAnsiTheme="minorEastAsia" w:cstheme="minorEastAsia"/>
          <w:kern w:val="2"/>
          <w:sz w:val="28"/>
          <w:szCs w:val="28"/>
          <w:highlight w:val="none"/>
          <w:lang w:val="en-US" w:eastAsia="zh-CN" w:bidi="ar-SA"/>
        </w:rPr>
        <w:t>、</w:t>
      </w:r>
      <w:r>
        <w:rPr>
          <w:rFonts w:hint="eastAsia" w:asciiTheme="minorEastAsia" w:hAnsiTheme="minorEastAsia" w:eastAsiaTheme="minorEastAsia" w:cstheme="minorEastAsia"/>
          <w:kern w:val="2"/>
          <w:sz w:val="28"/>
          <w:szCs w:val="28"/>
          <w:highlight w:val="none"/>
          <w:lang w:val="en-US" w:eastAsia="zh-CN" w:bidi="ar-SA"/>
        </w:rPr>
        <w:t>采购清单：</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514"/>
        <w:gridCol w:w="729"/>
        <w:gridCol w:w="3233"/>
        <w:gridCol w:w="426"/>
        <w:gridCol w:w="1056"/>
        <w:gridCol w:w="691"/>
        <w:gridCol w:w="933"/>
        <w:gridCol w:w="940"/>
      </w:tblGrid>
      <w:tr w14:paraId="4BF7F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trPr>
        <w:tc>
          <w:tcPr>
            <w:tcW w:w="5000" w:type="pct"/>
            <w:gridSpan w:val="8"/>
            <w:shd w:val="clear" w:color="auto" w:fill="auto"/>
            <w:vAlign w:val="center"/>
          </w:tcPr>
          <w:p w14:paraId="7EC92B1A">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华佗中医药文化传承创新示范项目配套服务用房工程土方工程专业分包采购清单</w:t>
            </w:r>
          </w:p>
        </w:tc>
      </w:tr>
      <w:tr w14:paraId="52AAA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2942" w:type="pct"/>
            <w:gridSpan w:val="4"/>
            <w:shd w:val="clear" w:color="auto" w:fill="auto"/>
            <w:vAlign w:val="center"/>
          </w:tcPr>
          <w:p w14:paraId="64865535">
            <w:pPr>
              <w:keepNext w:val="0"/>
              <w:keepLines w:val="0"/>
              <w:widowControl/>
              <w:suppressLineNumbers w:val="0"/>
              <w:jc w:val="left"/>
              <w:textAlignment w:val="center"/>
              <w:rPr>
                <w:rFonts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工程名称：土方工程</w:t>
            </w:r>
          </w:p>
        </w:tc>
        <w:tc>
          <w:tcPr>
            <w:tcW w:w="2057" w:type="pct"/>
            <w:gridSpan w:val="4"/>
            <w:shd w:val="clear" w:color="auto" w:fill="auto"/>
            <w:vAlign w:val="center"/>
          </w:tcPr>
          <w:p w14:paraId="337150B4">
            <w:pPr>
              <w:jc w:val="left"/>
              <w:rPr>
                <w:rFonts w:hint="eastAsia" w:ascii="黑体" w:hAnsi="宋体" w:eastAsia="黑体" w:cs="黑体"/>
                <w:i w:val="0"/>
                <w:iCs w:val="0"/>
                <w:color w:val="000000"/>
                <w:sz w:val="21"/>
                <w:szCs w:val="21"/>
                <w:u w:val="none"/>
              </w:rPr>
            </w:pPr>
          </w:p>
        </w:tc>
      </w:tr>
      <w:tr w14:paraId="42581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20" w:hRule="atLeast"/>
        </w:trPr>
        <w:tc>
          <w:tcPr>
            <w:tcW w:w="328" w:type="pct"/>
            <w:vMerge w:val="restart"/>
            <w:shd w:val="clear" w:color="auto" w:fill="auto"/>
            <w:vAlign w:val="center"/>
          </w:tcPr>
          <w:p w14:paraId="51577503">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序号</w:t>
            </w:r>
          </w:p>
        </w:tc>
        <w:tc>
          <w:tcPr>
            <w:tcW w:w="454" w:type="pct"/>
            <w:vMerge w:val="restart"/>
            <w:shd w:val="clear" w:color="auto" w:fill="auto"/>
            <w:vAlign w:val="center"/>
          </w:tcPr>
          <w:p w14:paraId="3E424984">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项目名称</w:t>
            </w:r>
          </w:p>
        </w:tc>
        <w:tc>
          <w:tcPr>
            <w:tcW w:w="1923" w:type="pct"/>
            <w:vMerge w:val="restart"/>
            <w:shd w:val="clear" w:color="auto" w:fill="auto"/>
            <w:vAlign w:val="center"/>
          </w:tcPr>
          <w:p w14:paraId="16E27EA1">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项目特征描述</w:t>
            </w:r>
          </w:p>
        </w:tc>
        <w:tc>
          <w:tcPr>
            <w:tcW w:w="236" w:type="pct"/>
            <w:vMerge w:val="restart"/>
            <w:shd w:val="clear" w:color="auto" w:fill="auto"/>
            <w:vAlign w:val="center"/>
          </w:tcPr>
          <w:p w14:paraId="33A02467">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计量</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单位</w:t>
            </w:r>
          </w:p>
        </w:tc>
        <w:tc>
          <w:tcPr>
            <w:tcW w:w="474" w:type="pct"/>
            <w:vMerge w:val="restart"/>
            <w:shd w:val="clear" w:color="auto" w:fill="auto"/>
            <w:vAlign w:val="center"/>
          </w:tcPr>
          <w:p w14:paraId="5D6CFCEC">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工程量</w:t>
            </w:r>
          </w:p>
        </w:tc>
        <w:tc>
          <w:tcPr>
            <w:tcW w:w="1582" w:type="pct"/>
            <w:gridSpan w:val="3"/>
            <w:shd w:val="clear" w:color="auto" w:fill="auto"/>
            <w:vAlign w:val="center"/>
          </w:tcPr>
          <w:p w14:paraId="77DA58FB">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金额（元）</w:t>
            </w:r>
          </w:p>
        </w:tc>
      </w:tr>
      <w:tr w14:paraId="6C7530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50" w:hRule="atLeast"/>
        </w:trPr>
        <w:tc>
          <w:tcPr>
            <w:tcW w:w="328" w:type="pct"/>
            <w:vMerge w:val="continue"/>
            <w:shd w:val="clear" w:color="auto" w:fill="auto"/>
            <w:vAlign w:val="center"/>
          </w:tcPr>
          <w:p w14:paraId="48665EDF">
            <w:pPr>
              <w:jc w:val="center"/>
              <w:rPr>
                <w:rFonts w:hint="eastAsia" w:ascii="黑体" w:hAnsi="宋体" w:eastAsia="黑体" w:cs="黑体"/>
                <w:i w:val="0"/>
                <w:iCs w:val="0"/>
                <w:color w:val="000000"/>
                <w:sz w:val="21"/>
                <w:szCs w:val="21"/>
                <w:u w:val="none"/>
              </w:rPr>
            </w:pPr>
          </w:p>
        </w:tc>
        <w:tc>
          <w:tcPr>
            <w:tcW w:w="454" w:type="pct"/>
            <w:vMerge w:val="continue"/>
            <w:shd w:val="clear" w:color="auto" w:fill="auto"/>
            <w:vAlign w:val="center"/>
          </w:tcPr>
          <w:p w14:paraId="3D3DDBD4">
            <w:pPr>
              <w:jc w:val="center"/>
              <w:rPr>
                <w:rFonts w:hint="eastAsia" w:ascii="黑体" w:hAnsi="宋体" w:eastAsia="黑体" w:cs="黑体"/>
                <w:i w:val="0"/>
                <w:iCs w:val="0"/>
                <w:color w:val="000000"/>
                <w:sz w:val="21"/>
                <w:szCs w:val="21"/>
                <w:u w:val="none"/>
              </w:rPr>
            </w:pPr>
          </w:p>
        </w:tc>
        <w:tc>
          <w:tcPr>
            <w:tcW w:w="1923" w:type="pct"/>
            <w:vMerge w:val="continue"/>
            <w:shd w:val="clear" w:color="auto" w:fill="auto"/>
            <w:vAlign w:val="center"/>
          </w:tcPr>
          <w:p w14:paraId="2290B3CB">
            <w:pPr>
              <w:jc w:val="center"/>
              <w:rPr>
                <w:rFonts w:hint="eastAsia" w:ascii="黑体" w:hAnsi="宋体" w:eastAsia="黑体" w:cs="黑体"/>
                <w:i w:val="0"/>
                <w:iCs w:val="0"/>
                <w:color w:val="000000"/>
                <w:sz w:val="21"/>
                <w:szCs w:val="21"/>
                <w:u w:val="none"/>
              </w:rPr>
            </w:pPr>
          </w:p>
        </w:tc>
        <w:tc>
          <w:tcPr>
            <w:tcW w:w="236" w:type="pct"/>
            <w:vMerge w:val="continue"/>
            <w:shd w:val="clear" w:color="auto" w:fill="auto"/>
            <w:vAlign w:val="center"/>
          </w:tcPr>
          <w:p w14:paraId="359C4DF0">
            <w:pPr>
              <w:jc w:val="center"/>
              <w:rPr>
                <w:rFonts w:hint="eastAsia" w:ascii="黑体" w:hAnsi="宋体" w:eastAsia="黑体" w:cs="黑体"/>
                <w:i w:val="0"/>
                <w:iCs w:val="0"/>
                <w:color w:val="000000"/>
                <w:sz w:val="21"/>
                <w:szCs w:val="21"/>
                <w:u w:val="none"/>
              </w:rPr>
            </w:pPr>
          </w:p>
        </w:tc>
        <w:tc>
          <w:tcPr>
            <w:tcW w:w="474" w:type="pct"/>
            <w:vMerge w:val="continue"/>
            <w:shd w:val="clear" w:color="auto" w:fill="auto"/>
            <w:vAlign w:val="center"/>
          </w:tcPr>
          <w:p w14:paraId="24E860BF">
            <w:pPr>
              <w:jc w:val="center"/>
              <w:rPr>
                <w:rFonts w:hint="eastAsia" w:ascii="黑体" w:hAnsi="宋体" w:eastAsia="黑体" w:cs="黑体"/>
                <w:i w:val="0"/>
                <w:iCs w:val="0"/>
                <w:color w:val="000000"/>
                <w:sz w:val="21"/>
                <w:szCs w:val="21"/>
                <w:u w:val="none"/>
              </w:rPr>
            </w:pPr>
          </w:p>
        </w:tc>
        <w:tc>
          <w:tcPr>
            <w:tcW w:w="432" w:type="pct"/>
            <w:vMerge w:val="restart"/>
            <w:shd w:val="clear" w:color="auto" w:fill="auto"/>
            <w:vAlign w:val="center"/>
          </w:tcPr>
          <w:p w14:paraId="40AE7BD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单价限价（含9%税）</w:t>
            </w:r>
          </w:p>
        </w:tc>
        <w:tc>
          <w:tcPr>
            <w:tcW w:w="574" w:type="pct"/>
            <w:vMerge w:val="restart"/>
            <w:shd w:val="clear" w:color="auto" w:fill="auto"/>
            <w:vAlign w:val="center"/>
          </w:tcPr>
          <w:p w14:paraId="5FFC3B0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单价报价（含9%税）</w:t>
            </w:r>
          </w:p>
        </w:tc>
        <w:tc>
          <w:tcPr>
            <w:tcW w:w="575" w:type="pct"/>
            <w:vMerge w:val="restart"/>
            <w:shd w:val="clear" w:color="auto" w:fill="auto"/>
            <w:vAlign w:val="center"/>
          </w:tcPr>
          <w:p w14:paraId="23FA1E6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总价（含9%税）</w:t>
            </w:r>
          </w:p>
        </w:tc>
      </w:tr>
      <w:tr w14:paraId="3027C9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60" w:hRule="atLeast"/>
        </w:trPr>
        <w:tc>
          <w:tcPr>
            <w:tcW w:w="328" w:type="pct"/>
            <w:vMerge w:val="continue"/>
            <w:shd w:val="clear" w:color="auto" w:fill="auto"/>
            <w:vAlign w:val="center"/>
          </w:tcPr>
          <w:p w14:paraId="2B67CF8E">
            <w:pPr>
              <w:jc w:val="center"/>
              <w:rPr>
                <w:rFonts w:hint="eastAsia" w:ascii="黑体" w:hAnsi="宋体" w:eastAsia="黑体" w:cs="黑体"/>
                <w:i w:val="0"/>
                <w:iCs w:val="0"/>
                <w:color w:val="000000"/>
                <w:sz w:val="21"/>
                <w:szCs w:val="21"/>
                <w:u w:val="none"/>
              </w:rPr>
            </w:pPr>
          </w:p>
        </w:tc>
        <w:tc>
          <w:tcPr>
            <w:tcW w:w="454" w:type="pct"/>
            <w:vMerge w:val="continue"/>
            <w:shd w:val="clear" w:color="auto" w:fill="auto"/>
            <w:vAlign w:val="center"/>
          </w:tcPr>
          <w:p w14:paraId="1B493A68">
            <w:pPr>
              <w:jc w:val="center"/>
              <w:rPr>
                <w:rFonts w:hint="eastAsia" w:ascii="黑体" w:hAnsi="宋体" w:eastAsia="黑体" w:cs="黑体"/>
                <w:i w:val="0"/>
                <w:iCs w:val="0"/>
                <w:color w:val="000000"/>
                <w:sz w:val="21"/>
                <w:szCs w:val="21"/>
                <w:u w:val="none"/>
              </w:rPr>
            </w:pPr>
          </w:p>
        </w:tc>
        <w:tc>
          <w:tcPr>
            <w:tcW w:w="1923" w:type="pct"/>
            <w:vMerge w:val="continue"/>
            <w:shd w:val="clear" w:color="auto" w:fill="auto"/>
            <w:vAlign w:val="center"/>
          </w:tcPr>
          <w:p w14:paraId="5BA0E067">
            <w:pPr>
              <w:jc w:val="center"/>
              <w:rPr>
                <w:rFonts w:hint="eastAsia" w:ascii="黑体" w:hAnsi="宋体" w:eastAsia="黑体" w:cs="黑体"/>
                <w:i w:val="0"/>
                <w:iCs w:val="0"/>
                <w:color w:val="000000"/>
                <w:sz w:val="21"/>
                <w:szCs w:val="21"/>
                <w:u w:val="none"/>
              </w:rPr>
            </w:pPr>
          </w:p>
        </w:tc>
        <w:tc>
          <w:tcPr>
            <w:tcW w:w="236" w:type="pct"/>
            <w:vMerge w:val="continue"/>
            <w:shd w:val="clear" w:color="auto" w:fill="auto"/>
            <w:vAlign w:val="center"/>
          </w:tcPr>
          <w:p w14:paraId="7390887B">
            <w:pPr>
              <w:jc w:val="center"/>
              <w:rPr>
                <w:rFonts w:hint="eastAsia" w:ascii="黑体" w:hAnsi="宋体" w:eastAsia="黑体" w:cs="黑体"/>
                <w:i w:val="0"/>
                <w:iCs w:val="0"/>
                <w:color w:val="000000"/>
                <w:sz w:val="21"/>
                <w:szCs w:val="21"/>
                <w:u w:val="none"/>
              </w:rPr>
            </w:pPr>
          </w:p>
        </w:tc>
        <w:tc>
          <w:tcPr>
            <w:tcW w:w="474" w:type="pct"/>
            <w:vMerge w:val="continue"/>
            <w:shd w:val="clear" w:color="auto" w:fill="auto"/>
            <w:vAlign w:val="center"/>
          </w:tcPr>
          <w:p w14:paraId="27F5C731">
            <w:pPr>
              <w:jc w:val="center"/>
              <w:rPr>
                <w:rFonts w:hint="eastAsia" w:ascii="黑体" w:hAnsi="宋体" w:eastAsia="黑体" w:cs="黑体"/>
                <w:i w:val="0"/>
                <w:iCs w:val="0"/>
                <w:color w:val="000000"/>
                <w:sz w:val="21"/>
                <w:szCs w:val="21"/>
                <w:u w:val="none"/>
              </w:rPr>
            </w:pPr>
          </w:p>
        </w:tc>
        <w:tc>
          <w:tcPr>
            <w:tcW w:w="432" w:type="pct"/>
            <w:vMerge w:val="continue"/>
            <w:shd w:val="clear" w:color="auto" w:fill="auto"/>
            <w:vAlign w:val="center"/>
          </w:tcPr>
          <w:p w14:paraId="30A96EBA">
            <w:pPr>
              <w:jc w:val="center"/>
              <w:rPr>
                <w:rFonts w:hint="eastAsia" w:ascii="宋体" w:hAnsi="宋体" w:eastAsia="宋体" w:cs="宋体"/>
                <w:i w:val="0"/>
                <w:iCs w:val="0"/>
                <w:color w:val="000000"/>
                <w:sz w:val="21"/>
                <w:szCs w:val="21"/>
                <w:u w:val="none"/>
              </w:rPr>
            </w:pPr>
          </w:p>
        </w:tc>
        <w:tc>
          <w:tcPr>
            <w:tcW w:w="574" w:type="pct"/>
            <w:vMerge w:val="continue"/>
            <w:shd w:val="clear" w:color="auto" w:fill="auto"/>
            <w:vAlign w:val="center"/>
          </w:tcPr>
          <w:p w14:paraId="47A9E789">
            <w:pPr>
              <w:jc w:val="center"/>
              <w:rPr>
                <w:rFonts w:hint="eastAsia" w:ascii="宋体" w:hAnsi="宋体" w:eastAsia="宋体" w:cs="宋体"/>
                <w:i w:val="0"/>
                <w:iCs w:val="0"/>
                <w:color w:val="000000"/>
                <w:sz w:val="21"/>
                <w:szCs w:val="21"/>
                <w:u w:val="none"/>
              </w:rPr>
            </w:pPr>
          </w:p>
        </w:tc>
        <w:tc>
          <w:tcPr>
            <w:tcW w:w="575" w:type="pct"/>
            <w:vMerge w:val="continue"/>
            <w:shd w:val="clear" w:color="auto" w:fill="auto"/>
            <w:vAlign w:val="center"/>
          </w:tcPr>
          <w:p w14:paraId="105BB253">
            <w:pPr>
              <w:jc w:val="center"/>
              <w:rPr>
                <w:rFonts w:hint="eastAsia" w:ascii="宋体" w:hAnsi="宋体" w:eastAsia="宋体" w:cs="宋体"/>
                <w:i w:val="0"/>
                <w:iCs w:val="0"/>
                <w:color w:val="000000"/>
                <w:sz w:val="21"/>
                <w:szCs w:val="21"/>
                <w:u w:val="none"/>
              </w:rPr>
            </w:pPr>
          </w:p>
        </w:tc>
      </w:tr>
      <w:tr w14:paraId="2E6639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440" w:hRule="atLeast"/>
        </w:trPr>
        <w:tc>
          <w:tcPr>
            <w:tcW w:w="328" w:type="pct"/>
            <w:shd w:val="clear" w:color="auto" w:fill="auto"/>
            <w:vAlign w:val="center"/>
          </w:tcPr>
          <w:p w14:paraId="55E5581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454" w:type="pct"/>
            <w:shd w:val="clear" w:color="auto" w:fill="auto"/>
            <w:vAlign w:val="center"/>
          </w:tcPr>
          <w:p w14:paraId="2561D0F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挖一般土方</w:t>
            </w:r>
          </w:p>
        </w:tc>
        <w:tc>
          <w:tcPr>
            <w:tcW w:w="1923" w:type="pct"/>
            <w:shd w:val="clear" w:color="auto" w:fill="auto"/>
            <w:vAlign w:val="center"/>
          </w:tcPr>
          <w:p w14:paraId="69731AE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土壤类别：供应商自行踏勘现场，应充分考虑现场可能存在的场地平整、水塘、杆线、沟渠、废弃管井、淤泥、地表水、场内杂草、菜地、苗木植被、房屋基础、地表垃圾、地下障碍物等不利因素，机械挖土（土方不准外运，内倒至采购人指定位置），开挖方案按照甲方要求施工，成交后不予调整</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2、施工范围内及邻近范围建筑物、行道路及地下管线等情况,对有影响的应采取有效的加固或隔震等措施进行保护；堆土场由甲方指定</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3、挖土深度：图纸设计完成面标高</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4、未尽事宜：具体详见设计、图集、答疑、采购文件、政府相关文件、规范等其他资料，满足验收要求</w:t>
            </w:r>
          </w:p>
        </w:tc>
        <w:tc>
          <w:tcPr>
            <w:tcW w:w="236" w:type="pct"/>
            <w:shd w:val="clear" w:color="auto" w:fill="auto"/>
            <w:vAlign w:val="center"/>
          </w:tcPr>
          <w:p w14:paraId="35A2422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m3</w:t>
            </w:r>
          </w:p>
        </w:tc>
        <w:tc>
          <w:tcPr>
            <w:tcW w:w="474" w:type="pct"/>
            <w:shd w:val="clear" w:color="auto" w:fill="auto"/>
            <w:vAlign w:val="center"/>
          </w:tcPr>
          <w:p w14:paraId="28AC0C97">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37552.97</w:t>
            </w:r>
          </w:p>
        </w:tc>
        <w:tc>
          <w:tcPr>
            <w:tcW w:w="432" w:type="pct"/>
            <w:shd w:val="clear" w:color="auto" w:fill="auto"/>
            <w:vAlign w:val="center"/>
          </w:tcPr>
          <w:p w14:paraId="4BA2EB9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574" w:type="pct"/>
            <w:shd w:val="clear" w:color="auto" w:fill="auto"/>
            <w:vAlign w:val="center"/>
          </w:tcPr>
          <w:p w14:paraId="121736B6">
            <w:pPr>
              <w:jc w:val="right"/>
              <w:rPr>
                <w:rFonts w:hint="eastAsia" w:ascii="宋体" w:hAnsi="宋体" w:eastAsia="宋体" w:cs="宋体"/>
                <w:i w:val="0"/>
                <w:iCs w:val="0"/>
                <w:color w:val="000000"/>
                <w:sz w:val="21"/>
                <w:szCs w:val="21"/>
                <w:u w:val="none"/>
              </w:rPr>
            </w:pPr>
          </w:p>
        </w:tc>
        <w:tc>
          <w:tcPr>
            <w:tcW w:w="575" w:type="pct"/>
            <w:shd w:val="clear" w:color="auto" w:fill="auto"/>
            <w:vAlign w:val="center"/>
          </w:tcPr>
          <w:p w14:paraId="3B699C78">
            <w:pPr>
              <w:jc w:val="right"/>
              <w:rPr>
                <w:rFonts w:hint="eastAsia" w:ascii="宋体" w:hAnsi="宋体" w:eastAsia="宋体" w:cs="宋体"/>
                <w:i w:val="0"/>
                <w:iCs w:val="0"/>
                <w:color w:val="000000"/>
                <w:sz w:val="21"/>
                <w:szCs w:val="21"/>
                <w:u w:val="none"/>
              </w:rPr>
            </w:pPr>
          </w:p>
        </w:tc>
      </w:tr>
      <w:tr w14:paraId="6E009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00" w:hRule="atLeast"/>
        </w:trPr>
        <w:tc>
          <w:tcPr>
            <w:tcW w:w="328" w:type="pct"/>
            <w:shd w:val="clear" w:color="auto" w:fill="auto"/>
            <w:vAlign w:val="center"/>
          </w:tcPr>
          <w:p w14:paraId="16DAC7D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454" w:type="pct"/>
            <w:shd w:val="clear" w:color="auto" w:fill="auto"/>
            <w:vAlign w:val="center"/>
          </w:tcPr>
          <w:p w14:paraId="7082D89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基坑基槽刮底</w:t>
            </w:r>
          </w:p>
        </w:tc>
        <w:tc>
          <w:tcPr>
            <w:tcW w:w="1923" w:type="pct"/>
            <w:shd w:val="clear" w:color="auto" w:fill="auto"/>
            <w:vAlign w:val="center"/>
          </w:tcPr>
          <w:p w14:paraId="7420D02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1、基础垫层以上30cm范围内土方、包含土方清运；包含基础承台、墩柱、排水沟、电梯井、集水井等基坑基槽的开挖、刮平清槽等工作；计量方式为基础垫层接触面面积</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2、土壤类别：供应商自行踏勘现场综合考虑</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3、未尽事宜：具体详见设计、图集、答疑、采购文件、政府相关文件、规范等其他资料，满足验收要求</w:t>
            </w:r>
          </w:p>
        </w:tc>
        <w:tc>
          <w:tcPr>
            <w:tcW w:w="236" w:type="pct"/>
            <w:shd w:val="clear" w:color="auto" w:fill="auto"/>
            <w:vAlign w:val="center"/>
          </w:tcPr>
          <w:p w14:paraId="50DB685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474" w:type="pct"/>
            <w:shd w:val="clear" w:color="auto" w:fill="auto"/>
            <w:vAlign w:val="center"/>
          </w:tcPr>
          <w:p w14:paraId="0146F8CE">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2897.67</w:t>
            </w:r>
          </w:p>
        </w:tc>
        <w:tc>
          <w:tcPr>
            <w:tcW w:w="432" w:type="pct"/>
            <w:shd w:val="clear" w:color="auto" w:fill="auto"/>
            <w:vAlign w:val="center"/>
          </w:tcPr>
          <w:p w14:paraId="405A487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574" w:type="pct"/>
            <w:shd w:val="clear" w:color="auto" w:fill="auto"/>
            <w:vAlign w:val="center"/>
          </w:tcPr>
          <w:p w14:paraId="2E742B6C">
            <w:pPr>
              <w:jc w:val="right"/>
              <w:rPr>
                <w:rFonts w:hint="eastAsia" w:ascii="宋体" w:hAnsi="宋体" w:eastAsia="宋体" w:cs="宋体"/>
                <w:i w:val="0"/>
                <w:iCs w:val="0"/>
                <w:color w:val="000000"/>
                <w:sz w:val="21"/>
                <w:szCs w:val="21"/>
                <w:u w:val="none"/>
              </w:rPr>
            </w:pPr>
          </w:p>
        </w:tc>
        <w:tc>
          <w:tcPr>
            <w:tcW w:w="575" w:type="pct"/>
            <w:shd w:val="clear" w:color="auto" w:fill="auto"/>
            <w:vAlign w:val="center"/>
          </w:tcPr>
          <w:p w14:paraId="6D0156A6">
            <w:pPr>
              <w:jc w:val="right"/>
              <w:rPr>
                <w:rFonts w:hint="eastAsia" w:ascii="宋体" w:hAnsi="宋体" w:eastAsia="宋体" w:cs="宋体"/>
                <w:i w:val="0"/>
                <w:iCs w:val="0"/>
                <w:color w:val="000000"/>
                <w:sz w:val="21"/>
                <w:szCs w:val="21"/>
                <w:u w:val="none"/>
              </w:rPr>
            </w:pPr>
          </w:p>
        </w:tc>
      </w:tr>
      <w:tr w14:paraId="49E7D9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60" w:hRule="atLeast"/>
        </w:trPr>
        <w:tc>
          <w:tcPr>
            <w:tcW w:w="328" w:type="pct"/>
            <w:shd w:val="clear" w:color="auto" w:fill="auto"/>
            <w:vAlign w:val="center"/>
          </w:tcPr>
          <w:p w14:paraId="5A41877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454" w:type="pct"/>
            <w:shd w:val="clear" w:color="auto" w:fill="auto"/>
            <w:vAlign w:val="center"/>
          </w:tcPr>
          <w:p w14:paraId="2004785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场区平整</w:t>
            </w:r>
          </w:p>
        </w:tc>
        <w:tc>
          <w:tcPr>
            <w:tcW w:w="1923" w:type="pct"/>
            <w:shd w:val="clear" w:color="auto" w:fill="auto"/>
            <w:vAlign w:val="center"/>
          </w:tcPr>
          <w:p w14:paraId="64CA7C7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场区：供应商勘察现场自行考虑报价，包含开挖过程中可能的杂草、杂树、庄稼、苗木植被、垃圾、房屋基础、淤泥、建筑物、构筑物等所有施工障碍物；包含场区内围墙、停车场道路及停车位等构件的拆除及垃圾处置工作（按照采购人要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2、运距：供应商勘察现场自行考虑报价，成交后不予调整</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3、要求：响应报价中充分考虑清表整平、低洼坑、高土堆整平、保洁费、协调费、弃土场费、修建运输通道等费用，以及市容、路政、环保部门征收的等一切费用，综合考虑在报价中，成交后一律不予调整</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4、未尽事宜：具体详见设计、图集、答疑、采购文件、政府相关文件、规范等其他资料，满足验收要求</w:t>
            </w:r>
          </w:p>
        </w:tc>
        <w:tc>
          <w:tcPr>
            <w:tcW w:w="236" w:type="pct"/>
            <w:shd w:val="clear" w:color="auto" w:fill="auto"/>
            <w:vAlign w:val="center"/>
          </w:tcPr>
          <w:p w14:paraId="65BE5B8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474" w:type="pct"/>
            <w:shd w:val="clear" w:color="auto" w:fill="auto"/>
            <w:vAlign w:val="center"/>
          </w:tcPr>
          <w:p w14:paraId="6A161A57">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55000</w:t>
            </w:r>
          </w:p>
        </w:tc>
        <w:tc>
          <w:tcPr>
            <w:tcW w:w="432" w:type="pct"/>
            <w:shd w:val="clear" w:color="auto" w:fill="auto"/>
            <w:vAlign w:val="center"/>
          </w:tcPr>
          <w:p w14:paraId="11FCF5A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574" w:type="pct"/>
            <w:shd w:val="clear" w:color="auto" w:fill="auto"/>
            <w:vAlign w:val="center"/>
          </w:tcPr>
          <w:p w14:paraId="7C2EB02B">
            <w:pPr>
              <w:jc w:val="right"/>
              <w:rPr>
                <w:rFonts w:hint="eastAsia" w:ascii="宋体" w:hAnsi="宋体" w:eastAsia="宋体" w:cs="宋体"/>
                <w:i w:val="0"/>
                <w:iCs w:val="0"/>
                <w:color w:val="000000"/>
                <w:sz w:val="21"/>
                <w:szCs w:val="21"/>
                <w:u w:val="none"/>
              </w:rPr>
            </w:pPr>
          </w:p>
        </w:tc>
        <w:tc>
          <w:tcPr>
            <w:tcW w:w="575" w:type="pct"/>
            <w:shd w:val="clear" w:color="auto" w:fill="auto"/>
            <w:vAlign w:val="center"/>
          </w:tcPr>
          <w:p w14:paraId="51241B9D">
            <w:pPr>
              <w:jc w:val="right"/>
              <w:rPr>
                <w:rFonts w:hint="eastAsia" w:ascii="宋体" w:hAnsi="宋体" w:eastAsia="宋体" w:cs="宋体"/>
                <w:i w:val="0"/>
                <w:iCs w:val="0"/>
                <w:color w:val="000000"/>
                <w:sz w:val="21"/>
                <w:szCs w:val="21"/>
                <w:u w:val="none"/>
              </w:rPr>
            </w:pPr>
          </w:p>
        </w:tc>
      </w:tr>
      <w:tr w14:paraId="5F1B43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060" w:hRule="atLeast"/>
        </w:trPr>
        <w:tc>
          <w:tcPr>
            <w:tcW w:w="328" w:type="pct"/>
            <w:shd w:val="clear" w:color="auto" w:fill="auto"/>
            <w:vAlign w:val="center"/>
          </w:tcPr>
          <w:p w14:paraId="63AEA45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454" w:type="pct"/>
            <w:shd w:val="clear" w:color="auto" w:fill="auto"/>
            <w:vAlign w:val="center"/>
          </w:tcPr>
          <w:p w14:paraId="168F543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回填方</w:t>
            </w:r>
          </w:p>
        </w:tc>
        <w:tc>
          <w:tcPr>
            <w:tcW w:w="1923" w:type="pct"/>
            <w:shd w:val="clear" w:color="auto" w:fill="auto"/>
            <w:vAlign w:val="center"/>
          </w:tcPr>
          <w:p w14:paraId="430EF64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1、部位：基坑范围内、顶板回填等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2、密实度要求：回填前应先清除基坑中杂物,并应在两侧或四周同时且对称回填,夯实时分层厚度不大于300mm。严禁采用垃圾土或淤泥土回填,回填施工时应防止损伤防水层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3、运距：供应商勘察现场自行考虑报价，成交后不予调整</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4、填方材料品种：素土，土源自行考虑</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备注：包含但不限于顶板及基坑、红线范围以内土方回填等，回填方式自行考虑报价，成交后不予调整；机械回填土从施工现场采购人指定地方取土，在场区内；土方回填、分层压实（压实需符合图纸和规范要求，回填夯实后整平至图纸设计标高），包与土方有关的验收，如回填土的压实系数实验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6、要求：响应报价中充分考虑土源费、保洁费、协调费、修建运输通道等费用，以及市容、路政、环保部门征收的等一切费用，综合考虑在报价中，成交后一律不予调整</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7、未尽事宜：具体详见设计、图集、答疑、采购文件、政府相关文件、规范等其他资料，满足验收要求</w:t>
            </w:r>
          </w:p>
        </w:tc>
        <w:tc>
          <w:tcPr>
            <w:tcW w:w="236" w:type="pct"/>
            <w:shd w:val="clear" w:color="auto" w:fill="auto"/>
            <w:vAlign w:val="center"/>
          </w:tcPr>
          <w:p w14:paraId="63D4D0B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m3</w:t>
            </w:r>
          </w:p>
        </w:tc>
        <w:tc>
          <w:tcPr>
            <w:tcW w:w="474" w:type="pct"/>
            <w:shd w:val="clear" w:color="auto" w:fill="auto"/>
            <w:vAlign w:val="center"/>
          </w:tcPr>
          <w:p w14:paraId="7D6DC88B">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32883.4</w:t>
            </w:r>
          </w:p>
        </w:tc>
        <w:tc>
          <w:tcPr>
            <w:tcW w:w="432" w:type="pct"/>
            <w:shd w:val="clear" w:color="auto" w:fill="auto"/>
            <w:vAlign w:val="center"/>
          </w:tcPr>
          <w:p w14:paraId="6B371D9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574" w:type="pct"/>
            <w:shd w:val="clear" w:color="auto" w:fill="auto"/>
            <w:vAlign w:val="center"/>
          </w:tcPr>
          <w:p w14:paraId="6BFF38E7">
            <w:pPr>
              <w:jc w:val="right"/>
              <w:rPr>
                <w:rFonts w:hint="eastAsia" w:ascii="宋体" w:hAnsi="宋体" w:eastAsia="宋体" w:cs="宋体"/>
                <w:i w:val="0"/>
                <w:iCs w:val="0"/>
                <w:color w:val="000000"/>
                <w:sz w:val="21"/>
                <w:szCs w:val="21"/>
                <w:u w:val="none"/>
              </w:rPr>
            </w:pPr>
          </w:p>
        </w:tc>
        <w:tc>
          <w:tcPr>
            <w:tcW w:w="575" w:type="pct"/>
            <w:shd w:val="clear" w:color="auto" w:fill="auto"/>
            <w:vAlign w:val="center"/>
          </w:tcPr>
          <w:p w14:paraId="69D893E9">
            <w:pPr>
              <w:jc w:val="right"/>
              <w:rPr>
                <w:rFonts w:hint="eastAsia" w:ascii="宋体" w:hAnsi="宋体" w:eastAsia="宋体" w:cs="宋体"/>
                <w:i w:val="0"/>
                <w:iCs w:val="0"/>
                <w:color w:val="000000"/>
                <w:sz w:val="21"/>
                <w:szCs w:val="21"/>
                <w:u w:val="none"/>
              </w:rPr>
            </w:pPr>
          </w:p>
        </w:tc>
      </w:tr>
      <w:tr w14:paraId="4797B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080" w:hRule="atLeast"/>
        </w:trPr>
        <w:tc>
          <w:tcPr>
            <w:tcW w:w="328" w:type="pct"/>
            <w:shd w:val="clear" w:color="auto" w:fill="auto"/>
            <w:vAlign w:val="center"/>
          </w:tcPr>
          <w:p w14:paraId="231A399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454" w:type="pct"/>
            <w:shd w:val="clear" w:color="auto" w:fill="auto"/>
            <w:vAlign w:val="center"/>
          </w:tcPr>
          <w:p w14:paraId="192DAD8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回填方</w:t>
            </w:r>
          </w:p>
        </w:tc>
        <w:tc>
          <w:tcPr>
            <w:tcW w:w="1923" w:type="pct"/>
            <w:shd w:val="clear" w:color="auto" w:fill="auto"/>
            <w:vAlign w:val="center"/>
          </w:tcPr>
          <w:p w14:paraId="2EBBD1C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1、部位：地下室四周3:7灰土回填,分层回填，具体回填范围以发包人要求为准，回填方式自行考虑报价，成交后不予调整</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2、运距：供应商勘察现场自行考虑报价，成交后不予调整</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3、要求：响应报价中充分考虑土源费、保洁费、协调费、修建运输通道等费用，以及市容、路政、环保部门征收的等一切费用，综合考虑在报价中，成交后一律不予调整</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4、未尽事宜：具体详见设计、图集、答疑、采购文件、政府相关文件、规范等其他资料，满足验收要求</w:t>
            </w:r>
          </w:p>
        </w:tc>
        <w:tc>
          <w:tcPr>
            <w:tcW w:w="236" w:type="pct"/>
            <w:shd w:val="clear" w:color="auto" w:fill="auto"/>
            <w:vAlign w:val="center"/>
          </w:tcPr>
          <w:p w14:paraId="72682A6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m3</w:t>
            </w:r>
          </w:p>
        </w:tc>
        <w:tc>
          <w:tcPr>
            <w:tcW w:w="474" w:type="pct"/>
            <w:shd w:val="clear" w:color="auto" w:fill="auto"/>
            <w:vAlign w:val="center"/>
          </w:tcPr>
          <w:p w14:paraId="16016D2F">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360.48</w:t>
            </w:r>
          </w:p>
        </w:tc>
        <w:tc>
          <w:tcPr>
            <w:tcW w:w="432" w:type="pct"/>
            <w:shd w:val="clear" w:color="auto" w:fill="auto"/>
            <w:vAlign w:val="center"/>
          </w:tcPr>
          <w:p w14:paraId="6C8076B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574" w:type="pct"/>
            <w:shd w:val="clear" w:color="auto" w:fill="auto"/>
            <w:vAlign w:val="center"/>
          </w:tcPr>
          <w:p w14:paraId="2A65C880">
            <w:pPr>
              <w:jc w:val="right"/>
              <w:rPr>
                <w:rFonts w:hint="eastAsia" w:ascii="宋体" w:hAnsi="宋体" w:eastAsia="宋体" w:cs="宋体"/>
                <w:i w:val="0"/>
                <w:iCs w:val="0"/>
                <w:color w:val="000000"/>
                <w:sz w:val="21"/>
                <w:szCs w:val="21"/>
                <w:u w:val="none"/>
              </w:rPr>
            </w:pPr>
          </w:p>
        </w:tc>
        <w:tc>
          <w:tcPr>
            <w:tcW w:w="575" w:type="pct"/>
            <w:shd w:val="clear" w:color="auto" w:fill="auto"/>
            <w:vAlign w:val="center"/>
          </w:tcPr>
          <w:p w14:paraId="491B4669">
            <w:pPr>
              <w:jc w:val="right"/>
              <w:rPr>
                <w:rFonts w:hint="eastAsia" w:ascii="宋体" w:hAnsi="宋体" w:eastAsia="宋体" w:cs="宋体"/>
                <w:i w:val="0"/>
                <w:iCs w:val="0"/>
                <w:color w:val="000000"/>
                <w:sz w:val="21"/>
                <w:szCs w:val="21"/>
                <w:u w:val="none"/>
              </w:rPr>
            </w:pPr>
          </w:p>
        </w:tc>
      </w:tr>
      <w:tr w14:paraId="73BB6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328" w:type="pct"/>
            <w:shd w:val="clear" w:color="auto" w:fill="auto"/>
            <w:vAlign w:val="center"/>
          </w:tcPr>
          <w:p w14:paraId="78B6E01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454" w:type="pct"/>
            <w:shd w:val="clear" w:color="auto" w:fill="auto"/>
            <w:vAlign w:val="center"/>
          </w:tcPr>
          <w:p w14:paraId="7969C94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小挖掘机</w:t>
            </w:r>
          </w:p>
        </w:tc>
        <w:tc>
          <w:tcPr>
            <w:tcW w:w="1923" w:type="pct"/>
            <w:vMerge w:val="restart"/>
            <w:shd w:val="clear" w:color="auto" w:fill="auto"/>
            <w:vAlign w:val="center"/>
          </w:tcPr>
          <w:p w14:paraId="3178979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本项不参与报价，根据实际使用情况，按固定综合单价进行结算。（甲方根据项目工作需要通知使用，供应商不得以任何理由拒绝，否则视为违约。）</w:t>
            </w:r>
          </w:p>
        </w:tc>
        <w:tc>
          <w:tcPr>
            <w:tcW w:w="236" w:type="pct"/>
            <w:shd w:val="clear" w:color="auto" w:fill="auto"/>
            <w:vAlign w:val="center"/>
          </w:tcPr>
          <w:p w14:paraId="5E08412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小时</w:t>
            </w:r>
          </w:p>
        </w:tc>
        <w:tc>
          <w:tcPr>
            <w:tcW w:w="474" w:type="pct"/>
            <w:shd w:val="clear" w:color="auto" w:fill="auto"/>
            <w:vAlign w:val="center"/>
          </w:tcPr>
          <w:p w14:paraId="000B7345">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按实结算</w:t>
            </w:r>
          </w:p>
        </w:tc>
        <w:tc>
          <w:tcPr>
            <w:tcW w:w="432" w:type="pct"/>
            <w:shd w:val="clear" w:color="auto" w:fill="auto"/>
            <w:vAlign w:val="center"/>
          </w:tcPr>
          <w:p w14:paraId="539CF37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120元/小时</w:t>
            </w:r>
          </w:p>
        </w:tc>
        <w:tc>
          <w:tcPr>
            <w:tcW w:w="574" w:type="pct"/>
            <w:shd w:val="clear" w:color="auto" w:fill="auto"/>
            <w:vAlign w:val="center"/>
          </w:tcPr>
          <w:p w14:paraId="3E0551A8">
            <w:pPr>
              <w:jc w:val="right"/>
              <w:rPr>
                <w:rFonts w:hint="eastAsia" w:ascii="宋体" w:hAnsi="宋体" w:eastAsia="宋体" w:cs="宋体"/>
                <w:i w:val="0"/>
                <w:iCs w:val="0"/>
                <w:color w:val="000000"/>
                <w:sz w:val="21"/>
                <w:szCs w:val="21"/>
                <w:u w:val="none"/>
              </w:rPr>
            </w:pPr>
          </w:p>
        </w:tc>
        <w:tc>
          <w:tcPr>
            <w:tcW w:w="575" w:type="pct"/>
            <w:shd w:val="clear" w:color="auto" w:fill="auto"/>
            <w:vAlign w:val="center"/>
          </w:tcPr>
          <w:p w14:paraId="3B0844AA">
            <w:pPr>
              <w:jc w:val="right"/>
              <w:rPr>
                <w:rFonts w:hint="eastAsia" w:ascii="宋体" w:hAnsi="宋体" w:eastAsia="宋体" w:cs="宋体"/>
                <w:i w:val="0"/>
                <w:iCs w:val="0"/>
                <w:color w:val="000000"/>
                <w:sz w:val="21"/>
                <w:szCs w:val="21"/>
                <w:u w:val="none"/>
              </w:rPr>
            </w:pPr>
          </w:p>
        </w:tc>
      </w:tr>
      <w:tr w14:paraId="4F5CC4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60" w:hRule="atLeast"/>
        </w:trPr>
        <w:tc>
          <w:tcPr>
            <w:tcW w:w="328" w:type="pct"/>
            <w:shd w:val="clear" w:color="auto" w:fill="auto"/>
            <w:vAlign w:val="center"/>
          </w:tcPr>
          <w:p w14:paraId="3B4BB1B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454" w:type="pct"/>
            <w:shd w:val="clear" w:color="auto" w:fill="auto"/>
            <w:vAlign w:val="center"/>
          </w:tcPr>
          <w:p w14:paraId="486DCA5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大挖掘机</w:t>
            </w:r>
          </w:p>
        </w:tc>
        <w:tc>
          <w:tcPr>
            <w:tcW w:w="1923" w:type="pct"/>
            <w:vMerge w:val="continue"/>
            <w:shd w:val="clear" w:color="auto" w:fill="auto"/>
            <w:vAlign w:val="center"/>
          </w:tcPr>
          <w:p w14:paraId="34489074">
            <w:pPr>
              <w:jc w:val="center"/>
              <w:rPr>
                <w:rFonts w:hint="eastAsia" w:ascii="宋体" w:hAnsi="宋体" w:eastAsia="宋体" w:cs="宋体"/>
                <w:i w:val="0"/>
                <w:iCs w:val="0"/>
                <w:color w:val="000000"/>
                <w:sz w:val="21"/>
                <w:szCs w:val="21"/>
                <w:u w:val="none"/>
              </w:rPr>
            </w:pPr>
          </w:p>
        </w:tc>
        <w:tc>
          <w:tcPr>
            <w:tcW w:w="236" w:type="pct"/>
            <w:shd w:val="clear" w:color="auto" w:fill="auto"/>
            <w:vAlign w:val="center"/>
          </w:tcPr>
          <w:p w14:paraId="3CA25CF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小时</w:t>
            </w:r>
          </w:p>
        </w:tc>
        <w:tc>
          <w:tcPr>
            <w:tcW w:w="474" w:type="pct"/>
            <w:shd w:val="clear" w:color="auto" w:fill="auto"/>
            <w:vAlign w:val="center"/>
          </w:tcPr>
          <w:p w14:paraId="7BB83335">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按实结算</w:t>
            </w:r>
          </w:p>
        </w:tc>
        <w:tc>
          <w:tcPr>
            <w:tcW w:w="432" w:type="pct"/>
            <w:shd w:val="clear" w:color="auto" w:fill="auto"/>
            <w:vAlign w:val="center"/>
          </w:tcPr>
          <w:p w14:paraId="12FFDE2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240元/小时</w:t>
            </w:r>
          </w:p>
        </w:tc>
        <w:tc>
          <w:tcPr>
            <w:tcW w:w="574" w:type="pct"/>
            <w:shd w:val="clear" w:color="auto" w:fill="auto"/>
            <w:vAlign w:val="center"/>
          </w:tcPr>
          <w:p w14:paraId="74E39610">
            <w:pPr>
              <w:jc w:val="right"/>
              <w:rPr>
                <w:rFonts w:hint="eastAsia" w:ascii="宋体" w:hAnsi="宋体" w:eastAsia="宋体" w:cs="宋体"/>
                <w:i w:val="0"/>
                <w:iCs w:val="0"/>
                <w:color w:val="000000"/>
                <w:sz w:val="21"/>
                <w:szCs w:val="21"/>
                <w:u w:val="none"/>
              </w:rPr>
            </w:pPr>
          </w:p>
        </w:tc>
        <w:tc>
          <w:tcPr>
            <w:tcW w:w="575" w:type="pct"/>
            <w:shd w:val="clear" w:color="auto" w:fill="auto"/>
            <w:vAlign w:val="center"/>
          </w:tcPr>
          <w:p w14:paraId="278937FE">
            <w:pPr>
              <w:jc w:val="right"/>
              <w:rPr>
                <w:rFonts w:hint="eastAsia" w:ascii="宋体" w:hAnsi="宋体" w:eastAsia="宋体" w:cs="宋体"/>
                <w:i w:val="0"/>
                <w:iCs w:val="0"/>
                <w:color w:val="000000"/>
                <w:sz w:val="21"/>
                <w:szCs w:val="21"/>
                <w:u w:val="none"/>
              </w:rPr>
            </w:pPr>
          </w:p>
        </w:tc>
      </w:tr>
      <w:tr w14:paraId="3E805A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60" w:hRule="atLeast"/>
        </w:trPr>
        <w:tc>
          <w:tcPr>
            <w:tcW w:w="328" w:type="pct"/>
            <w:shd w:val="clear" w:color="auto" w:fill="auto"/>
            <w:vAlign w:val="center"/>
          </w:tcPr>
          <w:p w14:paraId="7E19655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454" w:type="pct"/>
            <w:shd w:val="clear" w:color="auto" w:fill="auto"/>
            <w:vAlign w:val="center"/>
          </w:tcPr>
          <w:p w14:paraId="2877379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r>
              <w:rPr>
                <w:rStyle w:val="32"/>
                <w:lang w:val="en-US" w:eastAsia="zh-CN" w:bidi="ar"/>
              </w:rPr>
              <w:t>型铲车</w:t>
            </w:r>
          </w:p>
        </w:tc>
        <w:tc>
          <w:tcPr>
            <w:tcW w:w="1923" w:type="pct"/>
            <w:vMerge w:val="continue"/>
            <w:shd w:val="clear" w:color="auto" w:fill="auto"/>
            <w:vAlign w:val="center"/>
          </w:tcPr>
          <w:p w14:paraId="43768B82">
            <w:pPr>
              <w:jc w:val="center"/>
              <w:rPr>
                <w:rFonts w:hint="eastAsia" w:ascii="宋体" w:hAnsi="宋体" w:eastAsia="宋体" w:cs="宋体"/>
                <w:i w:val="0"/>
                <w:iCs w:val="0"/>
                <w:color w:val="000000"/>
                <w:sz w:val="21"/>
                <w:szCs w:val="21"/>
                <w:u w:val="none"/>
              </w:rPr>
            </w:pPr>
          </w:p>
        </w:tc>
        <w:tc>
          <w:tcPr>
            <w:tcW w:w="236" w:type="pct"/>
            <w:shd w:val="clear" w:color="auto" w:fill="auto"/>
            <w:vAlign w:val="center"/>
          </w:tcPr>
          <w:p w14:paraId="18D603D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小时</w:t>
            </w:r>
          </w:p>
        </w:tc>
        <w:tc>
          <w:tcPr>
            <w:tcW w:w="474" w:type="pct"/>
            <w:shd w:val="clear" w:color="auto" w:fill="auto"/>
            <w:vAlign w:val="center"/>
          </w:tcPr>
          <w:p w14:paraId="3A183FE9">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按实结算</w:t>
            </w:r>
          </w:p>
        </w:tc>
        <w:tc>
          <w:tcPr>
            <w:tcW w:w="432" w:type="pct"/>
            <w:shd w:val="clear" w:color="auto" w:fill="auto"/>
            <w:vAlign w:val="center"/>
          </w:tcPr>
          <w:p w14:paraId="4566902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100元/小时</w:t>
            </w:r>
          </w:p>
        </w:tc>
        <w:tc>
          <w:tcPr>
            <w:tcW w:w="574" w:type="pct"/>
            <w:shd w:val="clear" w:color="auto" w:fill="auto"/>
            <w:vAlign w:val="center"/>
          </w:tcPr>
          <w:p w14:paraId="71D0EFB6">
            <w:pPr>
              <w:jc w:val="right"/>
              <w:rPr>
                <w:rFonts w:hint="eastAsia" w:ascii="宋体" w:hAnsi="宋体" w:eastAsia="宋体" w:cs="宋体"/>
                <w:i w:val="0"/>
                <w:iCs w:val="0"/>
                <w:color w:val="000000"/>
                <w:sz w:val="21"/>
                <w:szCs w:val="21"/>
                <w:u w:val="none"/>
              </w:rPr>
            </w:pPr>
          </w:p>
        </w:tc>
        <w:tc>
          <w:tcPr>
            <w:tcW w:w="575" w:type="pct"/>
            <w:shd w:val="clear" w:color="auto" w:fill="auto"/>
            <w:vAlign w:val="center"/>
          </w:tcPr>
          <w:p w14:paraId="3A2398B6">
            <w:pPr>
              <w:jc w:val="right"/>
              <w:rPr>
                <w:rFonts w:hint="eastAsia" w:ascii="宋体" w:hAnsi="宋体" w:eastAsia="宋体" w:cs="宋体"/>
                <w:i w:val="0"/>
                <w:iCs w:val="0"/>
                <w:color w:val="000000"/>
                <w:sz w:val="21"/>
                <w:szCs w:val="21"/>
                <w:u w:val="none"/>
              </w:rPr>
            </w:pPr>
          </w:p>
        </w:tc>
      </w:tr>
      <w:tr w14:paraId="78CD28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60" w:hRule="atLeast"/>
        </w:trPr>
        <w:tc>
          <w:tcPr>
            <w:tcW w:w="328" w:type="pct"/>
            <w:shd w:val="clear" w:color="auto" w:fill="auto"/>
            <w:vAlign w:val="center"/>
          </w:tcPr>
          <w:p w14:paraId="56CF3FE4">
            <w:pPr>
              <w:jc w:val="center"/>
              <w:rPr>
                <w:rFonts w:hint="eastAsia" w:ascii="宋体" w:hAnsi="宋体" w:eastAsia="宋体" w:cs="宋体"/>
                <w:i w:val="0"/>
                <w:iCs w:val="0"/>
                <w:color w:val="000000"/>
                <w:sz w:val="21"/>
                <w:szCs w:val="21"/>
                <w:u w:val="none"/>
              </w:rPr>
            </w:pPr>
          </w:p>
        </w:tc>
        <w:tc>
          <w:tcPr>
            <w:tcW w:w="2377" w:type="pct"/>
            <w:gridSpan w:val="2"/>
            <w:shd w:val="clear" w:color="auto" w:fill="auto"/>
            <w:vAlign w:val="center"/>
          </w:tcPr>
          <w:p w14:paraId="4808282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合计</w:t>
            </w:r>
          </w:p>
        </w:tc>
        <w:tc>
          <w:tcPr>
            <w:tcW w:w="236" w:type="pct"/>
            <w:shd w:val="clear" w:color="auto" w:fill="auto"/>
            <w:vAlign w:val="center"/>
          </w:tcPr>
          <w:p w14:paraId="499B7766">
            <w:pPr>
              <w:jc w:val="center"/>
              <w:rPr>
                <w:rFonts w:hint="eastAsia" w:ascii="宋体" w:hAnsi="宋体" w:eastAsia="宋体" w:cs="宋体"/>
                <w:i w:val="0"/>
                <w:iCs w:val="0"/>
                <w:color w:val="000000"/>
                <w:sz w:val="21"/>
                <w:szCs w:val="21"/>
                <w:u w:val="none"/>
              </w:rPr>
            </w:pPr>
          </w:p>
        </w:tc>
        <w:tc>
          <w:tcPr>
            <w:tcW w:w="474" w:type="pct"/>
            <w:shd w:val="clear" w:color="auto" w:fill="auto"/>
            <w:vAlign w:val="center"/>
          </w:tcPr>
          <w:p w14:paraId="35B03477">
            <w:pPr>
              <w:jc w:val="right"/>
              <w:rPr>
                <w:rFonts w:hint="eastAsia" w:ascii="宋体" w:hAnsi="宋体" w:eastAsia="宋体" w:cs="宋体"/>
                <w:i w:val="0"/>
                <w:iCs w:val="0"/>
                <w:color w:val="000000"/>
                <w:sz w:val="21"/>
                <w:szCs w:val="21"/>
                <w:u w:val="none"/>
              </w:rPr>
            </w:pPr>
          </w:p>
        </w:tc>
        <w:tc>
          <w:tcPr>
            <w:tcW w:w="432" w:type="pct"/>
            <w:shd w:val="clear" w:color="auto" w:fill="auto"/>
            <w:vAlign w:val="center"/>
          </w:tcPr>
          <w:p w14:paraId="3461C210">
            <w:pPr>
              <w:jc w:val="center"/>
              <w:rPr>
                <w:rFonts w:hint="eastAsia" w:ascii="宋体" w:hAnsi="宋体" w:eastAsia="宋体" w:cs="宋体"/>
                <w:i w:val="0"/>
                <w:iCs w:val="0"/>
                <w:color w:val="000000"/>
                <w:sz w:val="21"/>
                <w:szCs w:val="21"/>
                <w:u w:val="none"/>
              </w:rPr>
            </w:pPr>
          </w:p>
        </w:tc>
        <w:tc>
          <w:tcPr>
            <w:tcW w:w="574" w:type="pct"/>
            <w:shd w:val="clear" w:color="auto" w:fill="auto"/>
            <w:vAlign w:val="center"/>
          </w:tcPr>
          <w:p w14:paraId="52D71C70">
            <w:pPr>
              <w:jc w:val="right"/>
              <w:rPr>
                <w:rFonts w:hint="eastAsia" w:ascii="宋体" w:hAnsi="宋体" w:eastAsia="宋体" w:cs="宋体"/>
                <w:i w:val="0"/>
                <w:iCs w:val="0"/>
                <w:color w:val="000000"/>
                <w:sz w:val="21"/>
                <w:szCs w:val="21"/>
                <w:u w:val="none"/>
              </w:rPr>
            </w:pPr>
          </w:p>
        </w:tc>
        <w:tc>
          <w:tcPr>
            <w:tcW w:w="575" w:type="pct"/>
            <w:shd w:val="clear" w:color="auto" w:fill="auto"/>
            <w:vAlign w:val="center"/>
          </w:tcPr>
          <w:p w14:paraId="6787BA92">
            <w:pPr>
              <w:jc w:val="right"/>
              <w:rPr>
                <w:rFonts w:hint="eastAsia" w:ascii="宋体" w:hAnsi="宋体" w:eastAsia="宋体" w:cs="宋体"/>
                <w:i w:val="0"/>
                <w:iCs w:val="0"/>
                <w:color w:val="000000"/>
                <w:sz w:val="21"/>
                <w:szCs w:val="21"/>
                <w:u w:val="none"/>
              </w:rPr>
            </w:pPr>
          </w:p>
        </w:tc>
      </w:tr>
    </w:tbl>
    <w:p w14:paraId="18BF197F">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kern w:val="2"/>
          <w:sz w:val="28"/>
          <w:szCs w:val="28"/>
          <w:highlight w:val="none"/>
          <w:lang w:val="en-US" w:eastAsia="zh-CN" w:bidi="ar-SA"/>
        </w:rPr>
      </w:pPr>
      <w:r>
        <w:rPr>
          <w:rFonts w:hint="eastAsia" w:asciiTheme="minorEastAsia" w:hAnsiTheme="minorEastAsia" w:cstheme="minorEastAsia"/>
          <w:kern w:val="2"/>
          <w:sz w:val="28"/>
          <w:szCs w:val="28"/>
          <w:highlight w:val="none"/>
          <w:lang w:val="en-US" w:eastAsia="zh-CN" w:bidi="ar-SA"/>
        </w:rPr>
        <w:t>二、</w:t>
      </w:r>
      <w:r>
        <w:rPr>
          <w:rFonts w:hint="eastAsia" w:asciiTheme="minorEastAsia" w:hAnsiTheme="minorEastAsia" w:eastAsiaTheme="minorEastAsia" w:cstheme="minorEastAsia"/>
          <w:kern w:val="2"/>
          <w:sz w:val="28"/>
          <w:szCs w:val="28"/>
          <w:highlight w:val="none"/>
          <w:lang w:val="en-US" w:eastAsia="zh-CN" w:bidi="ar-SA"/>
        </w:rPr>
        <w:t>采购人要求：</w:t>
      </w:r>
    </w:p>
    <w:p w14:paraId="06069C7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1、承包方式及内容，包括但不限于：华佗中医药文化传承创新示范项目施工总承包土方工程及工程联系单、采购人工作指令、要求增加或变更的和业主要求增加或变更的所有内容。成交人必须负责分包范围内所有工程的施工、验收、决算、养护等全部实施过程，同时也负责所在施工区域的文明施工及安全保护措施，并提供施工组织设计和总、月、周计划。 另外，负责协助采购人与所承包范围内工程的业主方进行对量对价工作，负责所承包范围内的竣工后的结算审核工作（包括与业主方的决算对接工作）。</w:t>
      </w:r>
    </w:p>
    <w:p w14:paraId="2D0A5E8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2、具体工作内容，包括但不限于：</w:t>
      </w:r>
    </w:p>
    <w:p w14:paraId="32DB2E6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1）准备工作：包括挖土办理有关部门的相关手续、承包范围内的土方开挖、回填、场地清表、垃圾清运等，挖机、运土车、推土机、回填打夯机械压路机等机械的准备等（注：所有进场机械均应满足主管部门环保要求，并经检测发放环保合格证）。</w:t>
      </w:r>
    </w:p>
    <w:p w14:paraId="29E1D8F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2）工作内容：机械清表、场区平整（包含开挖过程中可能的杂草、杂树、庄稼、苗木植被、垃圾、房屋基础、淤泥、建筑物、构筑物等所有施工障碍物；包含场区内围墙、停车场道路及停车位等构件的拆除及垃圾处置工作）、基槽清底、找平、机械挖土（土方不准外运，内倒至采购人现场指定位置）和机械回填土（从施工现场采购人指定地方取土)等所有土方工程，基础的开挖和刮平，包括机械挖土、回填、基础梁下土方回填整平压实、柱墩、电梯井、集水井、排水沟基坑等；包括土方回填、分层压实（压实需符合图纸和规范要求，回填夯实后整平至图纸设计标高），包与土方有关的验收，如回填土的压实系数实验等。</w:t>
      </w:r>
      <w:r>
        <w:rPr>
          <w:rFonts w:hint="eastAsia" w:asciiTheme="minorEastAsia" w:hAnsiTheme="minorEastAsia" w:cstheme="minorEastAsia"/>
          <w:kern w:val="2"/>
          <w:sz w:val="28"/>
          <w:szCs w:val="28"/>
          <w:highlight w:val="none"/>
          <w:lang w:val="en-US" w:eastAsia="zh-CN"/>
        </w:rPr>
        <w:t>供应商</w:t>
      </w:r>
      <w:r>
        <w:rPr>
          <w:rFonts w:hint="eastAsia" w:asciiTheme="minorEastAsia" w:hAnsiTheme="minorEastAsia" w:eastAsiaTheme="minorEastAsia" w:cstheme="minorEastAsia"/>
          <w:kern w:val="2"/>
          <w:sz w:val="28"/>
          <w:szCs w:val="28"/>
          <w:highlight w:val="none"/>
          <w:lang w:val="en-US" w:eastAsia="zh-CN"/>
        </w:rPr>
        <w:t>勘察现场自行考虑报价，</w:t>
      </w:r>
      <w:r>
        <w:rPr>
          <w:rFonts w:hint="eastAsia" w:asciiTheme="minorEastAsia" w:hAnsiTheme="minorEastAsia" w:cstheme="minorEastAsia"/>
          <w:kern w:val="2"/>
          <w:sz w:val="28"/>
          <w:szCs w:val="28"/>
          <w:highlight w:val="none"/>
          <w:lang w:val="en-US" w:eastAsia="zh-CN"/>
        </w:rPr>
        <w:t>成交</w:t>
      </w:r>
      <w:r>
        <w:rPr>
          <w:rFonts w:hint="eastAsia" w:asciiTheme="minorEastAsia" w:hAnsiTheme="minorEastAsia" w:eastAsiaTheme="minorEastAsia" w:cstheme="minorEastAsia"/>
          <w:kern w:val="2"/>
          <w:sz w:val="28"/>
          <w:szCs w:val="28"/>
          <w:highlight w:val="none"/>
          <w:lang w:val="en-US" w:eastAsia="zh-CN"/>
        </w:rPr>
        <w:t>后不予调整。</w:t>
      </w:r>
    </w:p>
    <w:p w14:paraId="2A7DDCA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FF0000"/>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（3）其他工程：</w:t>
      </w:r>
      <w:r>
        <w:rPr>
          <w:rFonts w:hint="eastAsia" w:asciiTheme="minorEastAsia" w:hAnsiTheme="minorEastAsia" w:eastAsiaTheme="minorEastAsia" w:cstheme="minorEastAsia"/>
          <w:color w:val="FF0000"/>
          <w:kern w:val="2"/>
          <w:sz w:val="28"/>
          <w:szCs w:val="28"/>
          <w:highlight w:val="none"/>
          <w:lang w:val="en-US" w:eastAsia="zh-CN"/>
        </w:rPr>
        <w:t>打通场区运输通道与既有市政道路开口、修建车辆冲洗平台（含冲洗设备、沉淀池、降水井、抽水泵等文明环保设施）等，负责每日安排至少一台洒水车、1名清洁工、不低于2台雾炮机（自行加水及开启、关闭工作）在现场服务出土扬尘事项，如若机械、人员、雾炮机数量不能满足上述要求，洒水车少一台将给予土方班组每日500元罚款，少一人将给予土方班组每日500元罚款，少一台雾炮将给予土方班组每日200元罚款；负责土方施工期间承包范围内场内外道路、周边的日常清理及与环卫、城管部门的协调等工作，负责因土方扬尘造成的主管部门下发的整改通知、处罚单等事后协调工作，由此发生的相关费用（含罚款等费用）由成交人负责。确保通过项目部、甲方、监理及政府主管部门的安全、质量、文明、环保等相关验收。</w:t>
      </w:r>
    </w:p>
    <w:p w14:paraId="33D0789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特别说明：以上承包内容只是作了一个大致的概括，实际承包内容应包括为该工程分项的所有工程。</w:t>
      </w:r>
    </w:p>
    <w:p w14:paraId="0DB0A38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cstheme="minorEastAsia"/>
          <w:kern w:val="2"/>
          <w:sz w:val="28"/>
          <w:szCs w:val="28"/>
          <w:highlight w:val="none"/>
          <w:lang w:val="en-US" w:eastAsia="zh-CN"/>
        </w:rPr>
        <w:t>3</w:t>
      </w:r>
      <w:r>
        <w:rPr>
          <w:rFonts w:hint="eastAsia" w:asciiTheme="minorEastAsia" w:hAnsiTheme="minorEastAsia" w:eastAsiaTheme="minorEastAsia" w:cstheme="minorEastAsia"/>
          <w:kern w:val="2"/>
          <w:sz w:val="28"/>
          <w:szCs w:val="28"/>
          <w:highlight w:val="none"/>
          <w:lang w:val="en-US" w:eastAsia="zh-CN"/>
        </w:rPr>
        <w:t>、工程安全、质量标准：本分包工程安全、质量标准双方约定为必须满足亳州市建筑工程安全质量标准化示范工地标准，同时满足亳州交控集团及采购人质量、安全管理体系相关标准。</w:t>
      </w:r>
    </w:p>
    <w:p w14:paraId="38E6D08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cstheme="minorEastAsia"/>
          <w:kern w:val="2"/>
          <w:sz w:val="28"/>
          <w:szCs w:val="28"/>
          <w:highlight w:val="none"/>
          <w:lang w:val="en-US" w:eastAsia="zh-CN"/>
        </w:rPr>
        <w:t>4</w:t>
      </w:r>
      <w:r>
        <w:rPr>
          <w:rFonts w:hint="eastAsia" w:asciiTheme="minorEastAsia" w:hAnsiTheme="minorEastAsia" w:eastAsiaTheme="minorEastAsia" w:cstheme="minorEastAsia"/>
          <w:kern w:val="2"/>
          <w:sz w:val="28"/>
          <w:szCs w:val="28"/>
          <w:highlight w:val="none"/>
          <w:lang w:val="en-US" w:eastAsia="zh-CN"/>
        </w:rPr>
        <w:t>、办公、住宿提供要求：项目场地面积有限，不提供办公室及工人宿舍，食宿问题由成交人自行考虑。</w:t>
      </w:r>
    </w:p>
    <w:p w14:paraId="2B6DEDB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cstheme="minorEastAsia"/>
          <w:kern w:val="2"/>
          <w:sz w:val="28"/>
          <w:szCs w:val="28"/>
          <w:highlight w:val="none"/>
          <w:lang w:val="en-US" w:eastAsia="zh-CN"/>
        </w:rPr>
        <w:t>5</w:t>
      </w:r>
      <w:r>
        <w:rPr>
          <w:rFonts w:hint="eastAsia" w:asciiTheme="minorEastAsia" w:hAnsiTheme="minorEastAsia" w:eastAsiaTheme="minorEastAsia" w:cstheme="minorEastAsia"/>
          <w:kern w:val="2"/>
          <w:sz w:val="28"/>
          <w:szCs w:val="28"/>
          <w:highlight w:val="none"/>
          <w:lang w:val="en-US" w:eastAsia="zh-CN"/>
        </w:rPr>
        <w:t>、工期延误：双方约定工期顺延的其他情况：如遇</w:t>
      </w:r>
      <w:r>
        <w:rPr>
          <w:rFonts w:hint="eastAsia" w:asciiTheme="minorEastAsia" w:hAnsiTheme="minorEastAsia" w:cstheme="minorEastAsia"/>
          <w:kern w:val="2"/>
          <w:sz w:val="28"/>
          <w:szCs w:val="28"/>
          <w:highlight w:val="none"/>
          <w:lang w:val="en-US" w:eastAsia="zh-CN"/>
        </w:rPr>
        <w:t>不可抗力</w:t>
      </w:r>
      <w:r>
        <w:rPr>
          <w:rFonts w:hint="eastAsia" w:asciiTheme="minorEastAsia" w:hAnsiTheme="minorEastAsia" w:eastAsiaTheme="minorEastAsia" w:cstheme="minorEastAsia"/>
          <w:kern w:val="2"/>
          <w:sz w:val="28"/>
          <w:szCs w:val="28"/>
          <w:highlight w:val="none"/>
          <w:lang w:val="en-US" w:eastAsia="zh-CN"/>
        </w:rPr>
        <w:t>，或连续阴雨恶劣天气，经监理和建设单位认可的工期顺延除外,如不能按进度节点及总计划工期完成相应工作，因成交人原因造成土建班组工序延误的，每延误半天，承担违约金1000元；每延误一天承担违约金2000元/天；超过三天，承担违约金5000元/天。</w:t>
      </w:r>
    </w:p>
    <w:p w14:paraId="1DDB40B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cstheme="minorEastAsia"/>
          <w:kern w:val="2"/>
          <w:sz w:val="28"/>
          <w:szCs w:val="28"/>
          <w:highlight w:val="none"/>
          <w:lang w:val="en-US" w:eastAsia="zh-CN"/>
        </w:rPr>
        <w:t>6</w:t>
      </w:r>
      <w:r>
        <w:rPr>
          <w:rFonts w:hint="eastAsia" w:asciiTheme="minorEastAsia" w:hAnsiTheme="minorEastAsia" w:eastAsiaTheme="minorEastAsia" w:cstheme="minorEastAsia"/>
          <w:kern w:val="2"/>
          <w:sz w:val="28"/>
          <w:szCs w:val="28"/>
          <w:highlight w:val="none"/>
          <w:lang w:val="en-US" w:eastAsia="zh-CN"/>
        </w:rPr>
        <w:t>、合同以外的零星工程按以下方式计算</w:t>
      </w:r>
    </w:p>
    <w:p w14:paraId="298D003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eastAsiaTheme="minorEastAsia" w:cstheme="minorEastAsia"/>
          <w:kern w:val="2"/>
          <w:sz w:val="28"/>
          <w:szCs w:val="28"/>
          <w:highlight w:val="none"/>
          <w:lang w:val="en-US" w:eastAsia="zh-CN"/>
        </w:rPr>
        <w:t xml:space="preserve"> 大挖机，单价为240元／小时；小挖机，单价为120元／小时；20型号铲车，单价为100元／小时。</w:t>
      </w:r>
    </w:p>
    <w:p w14:paraId="7A759F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cstheme="minorEastAsia"/>
          <w:kern w:val="2"/>
          <w:sz w:val="28"/>
          <w:szCs w:val="28"/>
          <w:highlight w:val="none"/>
          <w:lang w:val="en-US" w:eastAsia="zh-CN"/>
        </w:rPr>
        <w:t>7</w:t>
      </w:r>
      <w:r>
        <w:rPr>
          <w:rFonts w:hint="eastAsia" w:asciiTheme="minorEastAsia" w:hAnsiTheme="minorEastAsia" w:eastAsiaTheme="minorEastAsia" w:cstheme="minorEastAsia"/>
          <w:kern w:val="2"/>
          <w:sz w:val="28"/>
          <w:szCs w:val="28"/>
          <w:highlight w:val="none"/>
          <w:lang w:val="en-US" w:eastAsia="zh-CN"/>
        </w:rPr>
        <w:t>、</w:t>
      </w:r>
      <w:r>
        <w:rPr>
          <w:rFonts w:hint="eastAsia" w:asciiTheme="minorEastAsia" w:hAnsiTheme="minorEastAsia" w:cstheme="minorEastAsia"/>
          <w:kern w:val="2"/>
          <w:sz w:val="28"/>
          <w:szCs w:val="28"/>
          <w:highlight w:val="none"/>
          <w:lang w:val="en-US" w:eastAsia="zh-CN"/>
        </w:rPr>
        <w:t>响应</w:t>
      </w:r>
      <w:r>
        <w:rPr>
          <w:rFonts w:hint="eastAsia" w:asciiTheme="minorEastAsia" w:hAnsiTheme="minorEastAsia" w:eastAsiaTheme="minorEastAsia" w:cstheme="minorEastAsia"/>
          <w:kern w:val="2"/>
          <w:sz w:val="28"/>
          <w:szCs w:val="28"/>
          <w:highlight w:val="none"/>
          <w:lang w:val="en-US" w:eastAsia="zh-CN"/>
        </w:rPr>
        <w:t>报价内容：本工程报价采用综合单价报价，在工程款支付及最终结算时按成交综合单价及实际工程量按实结算。结算造价包含：该工程所需劳务、材料及材料试验费用、机械、管理、修复、 利润、税金、保修费用以及合同明示或暗示的所有责任、义务和一般风险。成交人对照图纸仔细核算并充分考虑各种风险因素。</w:t>
      </w:r>
    </w:p>
    <w:p w14:paraId="50B0A4C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cstheme="minorEastAsia"/>
          <w:kern w:val="2"/>
          <w:sz w:val="28"/>
          <w:szCs w:val="28"/>
          <w:highlight w:val="none"/>
          <w:lang w:val="en-US" w:eastAsia="zh-CN"/>
        </w:rPr>
        <w:t>8</w:t>
      </w:r>
      <w:r>
        <w:rPr>
          <w:rFonts w:hint="eastAsia" w:asciiTheme="minorEastAsia" w:hAnsiTheme="minorEastAsia" w:eastAsiaTheme="minorEastAsia" w:cstheme="minorEastAsia"/>
          <w:kern w:val="2"/>
          <w:sz w:val="28"/>
          <w:szCs w:val="28"/>
          <w:highlight w:val="none"/>
          <w:lang w:val="en-US" w:eastAsia="zh-CN"/>
        </w:rPr>
        <w:t>、其余未尽事宜按照采购人及项目部要求严格执行。</w:t>
      </w:r>
    </w:p>
    <w:p w14:paraId="394AD93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cstheme="minorEastAsia"/>
          <w:kern w:val="2"/>
          <w:sz w:val="28"/>
          <w:szCs w:val="28"/>
          <w:highlight w:val="none"/>
          <w:lang w:val="en-US" w:eastAsia="zh-CN"/>
        </w:rPr>
        <w:t>9</w:t>
      </w:r>
      <w:r>
        <w:rPr>
          <w:rFonts w:hint="eastAsia" w:asciiTheme="minorEastAsia" w:hAnsiTheme="minorEastAsia" w:eastAsiaTheme="minorEastAsia" w:cstheme="minorEastAsia"/>
          <w:kern w:val="2"/>
          <w:sz w:val="28"/>
          <w:szCs w:val="28"/>
          <w:highlight w:val="none"/>
          <w:lang w:val="en-US" w:eastAsia="zh-CN"/>
        </w:rPr>
        <w:t>、本工程拟派专职人员的具体资格和数量要求：施工员不少于 1人，安全员不少于1人，成交人进场后提供人员名单。</w:t>
      </w:r>
    </w:p>
    <w:p w14:paraId="5F2D146E">
      <w:pPr>
        <w:wordWrap w:val="0"/>
        <w:spacing w:line="480" w:lineRule="exact"/>
        <w:ind w:firstLine="560" w:firstLineChars="200"/>
        <w:jc w:val="both"/>
        <w:rPr>
          <w:rFonts w:hint="default"/>
          <w:lang w:val="en-US" w:eastAsia="zh-CN"/>
        </w:rPr>
      </w:pPr>
      <w:r>
        <w:rPr>
          <w:rFonts w:hint="eastAsia" w:asciiTheme="minorEastAsia" w:hAnsiTheme="minorEastAsia" w:eastAsiaTheme="minorEastAsia" w:cstheme="minorEastAsia"/>
          <w:kern w:val="2"/>
          <w:sz w:val="28"/>
          <w:szCs w:val="28"/>
          <w:highlight w:val="none"/>
          <w:lang w:val="en-US" w:eastAsia="zh-CN"/>
        </w:rPr>
        <w:t>1</w:t>
      </w:r>
      <w:r>
        <w:rPr>
          <w:rFonts w:hint="eastAsia" w:asciiTheme="minorEastAsia" w:hAnsiTheme="minorEastAsia" w:cstheme="minorEastAsia"/>
          <w:kern w:val="2"/>
          <w:sz w:val="28"/>
          <w:szCs w:val="28"/>
          <w:highlight w:val="none"/>
          <w:lang w:val="en-US" w:eastAsia="zh-CN"/>
        </w:rPr>
        <w:t>0</w:t>
      </w:r>
      <w:r>
        <w:rPr>
          <w:rFonts w:hint="eastAsia" w:asciiTheme="minorEastAsia" w:hAnsiTheme="minorEastAsia" w:eastAsiaTheme="minorEastAsia" w:cstheme="minorEastAsia"/>
          <w:kern w:val="2"/>
          <w:sz w:val="28"/>
          <w:szCs w:val="28"/>
          <w:highlight w:val="none"/>
          <w:lang w:val="en-US" w:eastAsia="zh-CN"/>
        </w:rPr>
        <w:t>、由于项目前期需要，部分土方已经开挖，部分场区平整已完成，车辆冲洗平台已建设等，相关费用根据市场价据实结算，由本项目成交人承担。</w:t>
      </w:r>
    </w:p>
    <w:p w14:paraId="1A5B6674">
      <w:pPr>
        <w:pStyle w:val="2"/>
        <w:rPr>
          <w:rFonts w:hint="default"/>
          <w:lang w:val="en-US" w:eastAsia="zh-CN"/>
        </w:rPr>
      </w:pPr>
    </w:p>
    <w:p w14:paraId="65D50D8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033A495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7653B91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04BF63A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643E3159">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cs="Times New Roman" w:eastAsiaTheme="majorEastAsia"/>
          <w:b/>
          <w:bCs/>
          <w:sz w:val="32"/>
          <w:szCs w:val="32"/>
          <w:highlight w:val="none"/>
          <w:lang w:val="en-US" w:eastAsia="zh-CN"/>
        </w:rPr>
      </w:pP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1DCAF6B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2"/>
          <w:sz w:val="28"/>
          <w:szCs w:val="28"/>
          <w:highlight w:val="none"/>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华佗中医药文化传承创新示范项目配套附属用房工程土方工程专业分包</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AHTKJS-2026-016号</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w:t>
      </w:r>
      <w:r>
        <w:rPr>
          <w:rFonts w:hint="default" w:ascii="Times New Roman" w:hAnsi="Times New Roman" w:eastAsia="楷体" w:cs="Times New Roman"/>
          <w:b/>
          <w:bCs/>
          <w:color w:val="FF0000"/>
          <w:kern w:val="0"/>
          <w:sz w:val="32"/>
          <w:szCs w:val="32"/>
          <w:highlight w:val="none"/>
          <w:u w:val="none"/>
          <w:shd w:val="clear" w:color="auto" w:fill="auto"/>
          <w:lang w:val="en-US" w:eastAsia="zh-CN"/>
        </w:rPr>
        <w:t>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w:t>
      </w:r>
      <w:r>
        <w:rPr>
          <w:rFonts w:hint="default" w:ascii="Times New Roman" w:hAnsi="Times New Roman" w:eastAsia="楷体" w:cs="Times New Roman"/>
          <w:b/>
          <w:bCs/>
          <w:color w:val="FF0000"/>
          <w:kern w:val="0"/>
          <w:sz w:val="32"/>
          <w:szCs w:val="32"/>
          <w:highlight w:val="none"/>
          <w:u w:val="none"/>
          <w:shd w:val="clear" w:color="auto" w:fill="auto"/>
          <w:lang w:val="en-US" w:eastAsia="zh-CN"/>
        </w:rPr>
        <w:t>签字</w:t>
      </w:r>
      <w:r>
        <w:rPr>
          <w:rFonts w:hint="eastAsia" w:ascii="Times New Roman" w:hAnsi="Times New Roman" w:eastAsia="楷体" w:cs="Times New Roman"/>
          <w:b/>
          <w:bCs/>
          <w:color w:val="FF0000"/>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4"/>
        <w:jc w:val="center"/>
        <w:rPr>
          <w:rFonts w:hint="default" w:ascii="Times New Roman" w:hAnsi="Times New Roman" w:cs="Times New Roman"/>
        </w:rPr>
      </w:pPr>
      <w:bookmarkStart w:id="241" w:name="_Toc247527827"/>
      <w:bookmarkStart w:id="242" w:name="_Toc300835209"/>
      <w:bookmarkStart w:id="243" w:name="_Toc247514246"/>
      <w:bookmarkStart w:id="244" w:name="_Toc152045787"/>
      <w:bookmarkStart w:id="245" w:name="_Toc152042576"/>
      <w:bookmarkStart w:id="246" w:name="_Toc144974856"/>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4"/>
        <w:jc w:val="center"/>
        <w:rPr>
          <w:rFonts w:hint="default" w:ascii="Times New Roman" w:hAnsi="Times New Roman" w:eastAsia="黑体" w:cs="Times New Roman"/>
          <w:sz w:val="20"/>
          <w:szCs w:val="20"/>
        </w:rPr>
      </w:pPr>
      <w:bookmarkStart w:id="247" w:name="_Toc247514247"/>
      <w:bookmarkStart w:id="248" w:name="_Toc152045788"/>
      <w:bookmarkStart w:id="249" w:name="_Toc247527828"/>
      <w:bookmarkStart w:id="250" w:name="_Toc144974857"/>
      <w:bookmarkStart w:id="251" w:name="_Toc300835210"/>
      <w:bookmarkStart w:id="252" w:name="_Toc15204257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247514249"/>
      <w:bookmarkStart w:id="254" w:name="_Toc300835212"/>
      <w:bookmarkStart w:id="255" w:name="_Toc152042579"/>
      <w:bookmarkStart w:id="256" w:name="_Toc152045790"/>
      <w:bookmarkStart w:id="257" w:name="_Toc144974859"/>
      <w:bookmarkStart w:id="258" w:name="_Toc247527830"/>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6C5C830D">
      <w:pPr>
        <w:keepNext w:val="0"/>
        <w:keepLines w:val="0"/>
        <w:pageBreakBefore w:val="0"/>
        <w:widowControl w:val="0"/>
        <w:kinsoku/>
        <w:wordWrap/>
        <w:overflowPunct/>
        <w:topLinePunct w:val="0"/>
        <w:autoSpaceDE/>
        <w:autoSpaceDN/>
        <w:bidi w:val="0"/>
        <w:adjustRightInd/>
        <w:snapToGrid/>
        <w:spacing w:line="520" w:lineRule="exact"/>
        <w:ind w:firstLine="420" w:firstLineChars="200"/>
        <w:jc w:val="both"/>
        <w:textAlignment w:val="auto"/>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华佗中医药文化传承创新示范项目配套附属用房工程土方工程专业分包</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color w:val="000000" w:themeColor="text1"/>
          <w:szCs w:val="21"/>
          <w:u w:val="single"/>
          <w:lang w:val="en-US" w:eastAsia="zh-CN"/>
          <w14:textFill>
            <w14:solidFill>
              <w14:schemeClr w14:val="tx1"/>
            </w14:solidFill>
          </w14:textFill>
        </w:rPr>
        <w:t>AHTKJS-2026-016号</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1" w:edGrp="everyone"/>
      <w:r>
        <w:rPr>
          <w:rFonts w:hint="eastAsia" w:ascii="Times New Roman" w:hAnsi="Times New Roman" w:cs="Times New Roman"/>
          <w:color w:val="FF0000"/>
          <w:szCs w:val="21"/>
          <w:lang w:val="en-US" w:eastAsia="zh-CN"/>
        </w:rPr>
        <w:t>含税人民币（大写）</w:t>
      </w:r>
      <w:r>
        <w:rPr>
          <w:rFonts w:hint="eastAsia" w:ascii="Times New Roman" w:hAnsi="Times New Roman" w:cs="Times New Roman"/>
          <w:color w:val="FF0000"/>
          <w:szCs w:val="21"/>
          <w:u w:val="single"/>
          <w:lang w:val="en-US" w:eastAsia="zh-CN"/>
        </w:rPr>
        <w:t xml:space="preserve"> </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元</w:t>
      </w:r>
      <w:r>
        <w:rPr>
          <w:rFonts w:hint="default" w:ascii="Times New Roman" w:hAnsi="Times New Roman" w:cs="Times New Roman"/>
          <w:color w:val="FF0000"/>
          <w:szCs w:val="21"/>
        </w:rPr>
        <w:t>（¥</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的响应报价（</w:t>
      </w:r>
      <w:r>
        <w:rPr>
          <w:rFonts w:hint="eastAsia" w:ascii="Times New Roman" w:hAnsi="Times New Roman" w:cs="Times New Roman"/>
          <w:color w:val="FF0000"/>
          <w:szCs w:val="21"/>
          <w:lang w:val="en-US" w:eastAsia="zh-CN"/>
        </w:rPr>
        <w:t>增值税税率为</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w:t>
      </w:r>
      <w:r>
        <w:rPr>
          <w:rFonts w:hint="eastAsia" w:ascii="Times New Roman" w:hAnsi="Times New Roman" w:cs="Times New Roman"/>
          <w:szCs w:val="21"/>
          <w:lang w:val="en-US" w:eastAsia="zh-CN"/>
        </w:rPr>
        <w:t>）</w:t>
      </w:r>
      <w:permEnd w:id="41"/>
      <w:r>
        <w:rPr>
          <w:rFonts w:hint="eastAsia" w:ascii="Times New Roman" w:hAnsi="Times New Roman" w:cs="Times New Roman"/>
          <w:szCs w:val="21"/>
          <w:lang w:val="en-US" w:eastAsia="zh-CN"/>
        </w:rPr>
        <w:t>，</w:t>
      </w:r>
      <w:r>
        <w:rPr>
          <w:rFonts w:hint="eastAsia" w:ascii="Times New Roman" w:hAnsi="Times New Roman" w:cs="Times New Roman"/>
          <w:color w:val="FF0000"/>
          <w:szCs w:val="21"/>
          <w:u w:val="single"/>
          <w:lang w:val="en-US" w:eastAsia="zh-CN"/>
        </w:rPr>
        <w:t>计划工期：自合同签订之日起120日历天，按合同约定完成本项目全部工作</w:t>
      </w:r>
      <w:r>
        <w:rPr>
          <w:rFonts w:hint="eastAsia" w:ascii="Times New Roman" w:hAnsi="Times New Roman" w:cs="Times New Roman"/>
          <w:szCs w:val="21"/>
          <w:u w:val="none"/>
          <w:lang w:val="en-US" w:eastAsia="zh-CN"/>
        </w:rPr>
        <w:t>。</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盖单位章</w:t>
      </w:r>
      <w:r>
        <w:rPr>
          <w:rFonts w:hint="default" w:ascii="Times New Roman" w:hAnsi="Times New Roman" w:cs="Times New Roman"/>
          <w:szCs w:val="21"/>
        </w:rPr>
        <w:t>）</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签字</w:t>
      </w:r>
      <w:r>
        <w:rPr>
          <w:rFonts w:hint="eastAsia" w:ascii="Times New Roman" w:hAnsi="Times New Roman" w:cs="Times New Roman"/>
          <w:b/>
          <w:bCs/>
          <w:color w:val="FF0000"/>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4"/>
        <w:jc w:val="both"/>
        <w:rPr>
          <w:rFonts w:hint="default" w:ascii="Times New Roman" w:hAnsi="Times New Roman" w:cs="Times New Roman"/>
        </w:rPr>
      </w:pPr>
      <w:bookmarkStart w:id="259" w:name="_Toc152042580"/>
      <w:bookmarkStart w:id="260" w:name="_Toc300835213"/>
      <w:bookmarkStart w:id="261" w:name="_Toc152045791"/>
      <w:bookmarkStart w:id="262" w:name="_Toc144974860"/>
      <w:bookmarkStart w:id="263" w:name="_Toc247514283"/>
      <w:bookmarkStart w:id="264" w:name="_Toc247527831"/>
    </w:p>
    <w:p w14:paraId="352DF75A">
      <w:pPr>
        <w:rPr>
          <w:rFonts w:hint="default"/>
        </w:rPr>
      </w:pPr>
    </w:p>
    <w:p w14:paraId="37F9C44E">
      <w:pPr>
        <w:pStyle w:val="4"/>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盖单位章</w:t>
      </w:r>
      <w:r>
        <w:rPr>
          <w:rFonts w:hint="default" w:ascii="Times New Roman" w:hAnsi="Times New Roman" w:cs="Times New Roman"/>
          <w:szCs w:val="21"/>
        </w:rPr>
        <w:t>）</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152042581"/>
      <w:bookmarkStart w:id="266" w:name="_Toc247514284"/>
      <w:bookmarkStart w:id="267" w:name="_Toc247527832"/>
      <w:bookmarkStart w:id="268" w:name="_Toc144974861"/>
      <w:bookmarkStart w:id="269" w:name="_Toc152045792"/>
      <w:bookmarkStart w:id="270" w:name="_Toc300835214"/>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盖单位章</w:t>
      </w:r>
      <w:r>
        <w:rPr>
          <w:rFonts w:hint="default" w:ascii="Times New Roman" w:hAnsi="Times New Roman" w:cs="Times New Roman"/>
          <w:szCs w:val="21"/>
        </w:rPr>
        <w:t>）</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签字或盖章</w:t>
      </w:r>
      <w:r>
        <w:rPr>
          <w:rFonts w:hint="default" w:ascii="Times New Roman" w:hAnsi="Times New Roman" w:cs="Times New Roman"/>
          <w:szCs w:val="21"/>
        </w:rPr>
        <w:t xml:space="preserve">）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w:t>
      </w:r>
      <w:r>
        <w:rPr>
          <w:rFonts w:hint="default" w:ascii="Times New Roman" w:hAnsi="Times New Roman" w:cs="Times New Roman"/>
          <w:b/>
          <w:bCs/>
          <w:color w:val="FF0000"/>
          <w:szCs w:val="21"/>
          <w:u w:val="none"/>
        </w:rPr>
        <w:t>签字或盖章</w:t>
      </w:r>
      <w:r>
        <w:rPr>
          <w:rFonts w:hint="default" w:ascii="Times New Roman" w:hAnsi="Times New Roman" w:cs="Times New Roman"/>
          <w:szCs w:val="21"/>
          <w:u w:val="none"/>
        </w:rPr>
        <w:t>）</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152042583"/>
      <w:bookmarkStart w:id="272" w:name="_Toc144974862"/>
      <w:bookmarkStart w:id="273" w:name="_Toc247527834"/>
      <w:bookmarkStart w:id="274" w:name="_Toc152045794"/>
      <w:bookmarkStart w:id="275" w:name="_Toc247514286"/>
      <w:bookmarkStart w:id="276" w:name="_Toc300835216"/>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152042584"/>
      <w:bookmarkStart w:id="279" w:name="_Toc152045795"/>
      <w:bookmarkStart w:id="280" w:name="_Toc247514287"/>
      <w:bookmarkStart w:id="281" w:name="_Toc300835218"/>
      <w:bookmarkStart w:id="282" w:name="_Toc144974863"/>
      <w:bookmarkStart w:id="283" w:name="_Toc247527835"/>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0"/>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29"/>
              <w:spacing w:before="174" w:line="221" w:lineRule="auto"/>
              <w:ind w:left="344"/>
              <w:rPr>
                <w:sz w:val="21"/>
                <w:szCs w:val="21"/>
              </w:rPr>
            </w:pPr>
            <w:r>
              <w:rPr>
                <w:spacing w:val="6"/>
                <w:sz w:val="21"/>
                <w:szCs w:val="21"/>
              </w:rPr>
              <w:t>序号</w:t>
            </w:r>
          </w:p>
        </w:tc>
        <w:tc>
          <w:tcPr>
            <w:tcW w:w="3106" w:type="dxa"/>
            <w:vAlign w:val="top"/>
          </w:tcPr>
          <w:p w14:paraId="41B11741">
            <w:pPr>
              <w:pStyle w:val="29"/>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29"/>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29"/>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29"/>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29"/>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29"/>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29"/>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29"/>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29"/>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2"/>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773B18A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default" w:ascii="Times New Roman" w:hAnsi="Times New Roman" w:eastAsia="仿宋"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ascii="仿宋" w:hAnsi="仿宋" w:eastAsia="仿宋"/>
          <w:sz w:val="28"/>
          <w:szCs w:val="28"/>
        </w:rPr>
        <w:t xml:space="preserve">日期：     年   </w:t>
      </w:r>
      <w:r>
        <w:rPr>
          <w:rFonts w:hint="eastAsia" w:ascii="仿宋" w:hAnsi="仿宋" w:eastAsia="仿宋"/>
          <w:sz w:val="28"/>
          <w:szCs w:val="28"/>
          <w:lang w:val="en-US" w:eastAsia="zh-CN"/>
        </w:rPr>
        <w:t>月   日</w:t>
      </w:r>
    </w:p>
    <w:p w14:paraId="3455522E">
      <w:pPr>
        <w:pStyle w:val="4"/>
        <w:numPr>
          <w:ilvl w:val="0"/>
          <w:numId w:val="0"/>
        </w:numPr>
        <w:jc w:val="center"/>
        <w:rPr>
          <w:rFonts w:hint="eastAsia" w:ascii="Times New Roman" w:hAnsi="Times New Roman" w:cs="Times New Roman"/>
          <w:lang w:val="en-US" w:eastAsia="zh-CN"/>
        </w:rPr>
      </w:pPr>
      <w:r>
        <w:rPr>
          <w:rFonts w:hint="eastAsia" w:ascii="Times New Roman" w:hAnsi="Times New Roman" w:eastAsia="黑体" w:cs="Times New Roman"/>
          <w:b/>
          <w:bCs/>
          <w:kern w:val="2"/>
          <w:sz w:val="32"/>
          <w:szCs w:val="32"/>
          <w:lang w:val="en-US" w:eastAsia="zh-CN" w:bidi="ar-SA"/>
        </w:rPr>
        <w:t>七、</w:t>
      </w:r>
      <w:r>
        <w:rPr>
          <w:rFonts w:hint="eastAsia" w:ascii="Times New Roman" w:hAnsi="Times New Roman" w:cs="Times New Roman"/>
          <w:lang w:val="en-US" w:eastAsia="zh-CN"/>
        </w:rPr>
        <w:t>报价表</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514"/>
        <w:gridCol w:w="729"/>
        <w:gridCol w:w="3233"/>
        <w:gridCol w:w="426"/>
        <w:gridCol w:w="1056"/>
        <w:gridCol w:w="691"/>
        <w:gridCol w:w="933"/>
        <w:gridCol w:w="940"/>
      </w:tblGrid>
      <w:tr w14:paraId="76E320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trPr>
        <w:tc>
          <w:tcPr>
            <w:tcW w:w="5000" w:type="pct"/>
            <w:gridSpan w:val="8"/>
            <w:shd w:val="clear" w:color="auto" w:fill="auto"/>
            <w:vAlign w:val="center"/>
          </w:tcPr>
          <w:p w14:paraId="27021EB3">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华佗中医药文化传承创新示范项目配套服务用房工程土方工程专业分包报价表</w:t>
            </w:r>
          </w:p>
        </w:tc>
      </w:tr>
      <w:tr w14:paraId="25C039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80" w:hRule="atLeast"/>
        </w:trPr>
        <w:tc>
          <w:tcPr>
            <w:tcW w:w="2942" w:type="pct"/>
            <w:gridSpan w:val="4"/>
            <w:shd w:val="clear" w:color="auto" w:fill="auto"/>
            <w:vAlign w:val="center"/>
          </w:tcPr>
          <w:p w14:paraId="76C3A691">
            <w:pPr>
              <w:keepNext w:val="0"/>
              <w:keepLines w:val="0"/>
              <w:widowControl/>
              <w:suppressLineNumbers w:val="0"/>
              <w:jc w:val="left"/>
              <w:textAlignment w:val="center"/>
              <w:rPr>
                <w:rFonts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工程名称：土方工程</w:t>
            </w:r>
          </w:p>
        </w:tc>
        <w:tc>
          <w:tcPr>
            <w:tcW w:w="2057" w:type="pct"/>
            <w:gridSpan w:val="4"/>
            <w:shd w:val="clear" w:color="auto" w:fill="auto"/>
            <w:vAlign w:val="center"/>
          </w:tcPr>
          <w:p w14:paraId="0DA9BC42">
            <w:pPr>
              <w:jc w:val="left"/>
              <w:rPr>
                <w:rFonts w:hint="eastAsia" w:ascii="黑体" w:hAnsi="宋体" w:eastAsia="黑体" w:cs="黑体"/>
                <w:i w:val="0"/>
                <w:iCs w:val="0"/>
                <w:color w:val="000000"/>
                <w:sz w:val="21"/>
                <w:szCs w:val="21"/>
                <w:u w:val="none"/>
              </w:rPr>
            </w:pPr>
          </w:p>
        </w:tc>
      </w:tr>
      <w:tr w14:paraId="4C1DCB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20" w:hRule="atLeast"/>
        </w:trPr>
        <w:tc>
          <w:tcPr>
            <w:tcW w:w="328" w:type="pct"/>
            <w:vMerge w:val="restart"/>
            <w:shd w:val="clear" w:color="auto" w:fill="auto"/>
            <w:vAlign w:val="center"/>
          </w:tcPr>
          <w:p w14:paraId="65196C2A">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序号</w:t>
            </w:r>
          </w:p>
        </w:tc>
        <w:tc>
          <w:tcPr>
            <w:tcW w:w="454" w:type="pct"/>
            <w:vMerge w:val="restart"/>
            <w:shd w:val="clear" w:color="auto" w:fill="auto"/>
            <w:vAlign w:val="center"/>
          </w:tcPr>
          <w:p w14:paraId="10D6CB54">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项目名称</w:t>
            </w:r>
          </w:p>
        </w:tc>
        <w:tc>
          <w:tcPr>
            <w:tcW w:w="1923" w:type="pct"/>
            <w:vMerge w:val="restart"/>
            <w:shd w:val="clear" w:color="auto" w:fill="auto"/>
            <w:vAlign w:val="center"/>
          </w:tcPr>
          <w:p w14:paraId="1B6D42F8">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项目特征描述</w:t>
            </w:r>
          </w:p>
        </w:tc>
        <w:tc>
          <w:tcPr>
            <w:tcW w:w="236" w:type="pct"/>
            <w:vMerge w:val="restart"/>
            <w:shd w:val="clear" w:color="auto" w:fill="auto"/>
            <w:vAlign w:val="center"/>
          </w:tcPr>
          <w:p w14:paraId="5E9A1809">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计量</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单位</w:t>
            </w:r>
          </w:p>
        </w:tc>
        <w:tc>
          <w:tcPr>
            <w:tcW w:w="474" w:type="pct"/>
            <w:vMerge w:val="restart"/>
            <w:shd w:val="clear" w:color="auto" w:fill="auto"/>
            <w:vAlign w:val="center"/>
          </w:tcPr>
          <w:p w14:paraId="3349C8FC">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工程量</w:t>
            </w:r>
          </w:p>
        </w:tc>
        <w:tc>
          <w:tcPr>
            <w:tcW w:w="1582" w:type="pct"/>
            <w:gridSpan w:val="3"/>
            <w:shd w:val="clear" w:color="auto" w:fill="auto"/>
            <w:vAlign w:val="center"/>
          </w:tcPr>
          <w:p w14:paraId="147DFB09">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金额（元）</w:t>
            </w:r>
          </w:p>
        </w:tc>
      </w:tr>
      <w:tr w14:paraId="7CEB3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50" w:hRule="atLeast"/>
        </w:trPr>
        <w:tc>
          <w:tcPr>
            <w:tcW w:w="328" w:type="pct"/>
            <w:vMerge w:val="continue"/>
            <w:shd w:val="clear" w:color="auto" w:fill="auto"/>
            <w:vAlign w:val="center"/>
          </w:tcPr>
          <w:p w14:paraId="5C08AA76">
            <w:pPr>
              <w:jc w:val="center"/>
              <w:rPr>
                <w:rFonts w:hint="eastAsia" w:ascii="黑体" w:hAnsi="宋体" w:eastAsia="黑体" w:cs="黑体"/>
                <w:i w:val="0"/>
                <w:iCs w:val="0"/>
                <w:color w:val="000000"/>
                <w:sz w:val="21"/>
                <w:szCs w:val="21"/>
                <w:u w:val="none"/>
              </w:rPr>
            </w:pPr>
          </w:p>
        </w:tc>
        <w:tc>
          <w:tcPr>
            <w:tcW w:w="454" w:type="pct"/>
            <w:vMerge w:val="continue"/>
            <w:shd w:val="clear" w:color="auto" w:fill="auto"/>
            <w:vAlign w:val="center"/>
          </w:tcPr>
          <w:p w14:paraId="161581F9">
            <w:pPr>
              <w:jc w:val="center"/>
              <w:rPr>
                <w:rFonts w:hint="eastAsia" w:ascii="黑体" w:hAnsi="宋体" w:eastAsia="黑体" w:cs="黑体"/>
                <w:i w:val="0"/>
                <w:iCs w:val="0"/>
                <w:color w:val="000000"/>
                <w:sz w:val="21"/>
                <w:szCs w:val="21"/>
                <w:u w:val="none"/>
              </w:rPr>
            </w:pPr>
          </w:p>
        </w:tc>
        <w:tc>
          <w:tcPr>
            <w:tcW w:w="1923" w:type="pct"/>
            <w:vMerge w:val="continue"/>
            <w:shd w:val="clear" w:color="auto" w:fill="auto"/>
            <w:vAlign w:val="center"/>
          </w:tcPr>
          <w:p w14:paraId="7CF8C03B">
            <w:pPr>
              <w:jc w:val="center"/>
              <w:rPr>
                <w:rFonts w:hint="eastAsia" w:ascii="黑体" w:hAnsi="宋体" w:eastAsia="黑体" w:cs="黑体"/>
                <w:i w:val="0"/>
                <w:iCs w:val="0"/>
                <w:color w:val="000000"/>
                <w:sz w:val="21"/>
                <w:szCs w:val="21"/>
                <w:u w:val="none"/>
              </w:rPr>
            </w:pPr>
          </w:p>
        </w:tc>
        <w:tc>
          <w:tcPr>
            <w:tcW w:w="236" w:type="pct"/>
            <w:vMerge w:val="continue"/>
            <w:shd w:val="clear" w:color="auto" w:fill="auto"/>
            <w:vAlign w:val="center"/>
          </w:tcPr>
          <w:p w14:paraId="205FF2CB">
            <w:pPr>
              <w:jc w:val="center"/>
              <w:rPr>
                <w:rFonts w:hint="eastAsia" w:ascii="黑体" w:hAnsi="宋体" w:eastAsia="黑体" w:cs="黑体"/>
                <w:i w:val="0"/>
                <w:iCs w:val="0"/>
                <w:color w:val="000000"/>
                <w:sz w:val="21"/>
                <w:szCs w:val="21"/>
                <w:u w:val="none"/>
              </w:rPr>
            </w:pPr>
          </w:p>
        </w:tc>
        <w:tc>
          <w:tcPr>
            <w:tcW w:w="474" w:type="pct"/>
            <w:vMerge w:val="continue"/>
            <w:shd w:val="clear" w:color="auto" w:fill="auto"/>
            <w:vAlign w:val="center"/>
          </w:tcPr>
          <w:p w14:paraId="2A94D3F4">
            <w:pPr>
              <w:jc w:val="center"/>
              <w:rPr>
                <w:rFonts w:hint="eastAsia" w:ascii="黑体" w:hAnsi="宋体" w:eastAsia="黑体" w:cs="黑体"/>
                <w:i w:val="0"/>
                <w:iCs w:val="0"/>
                <w:color w:val="000000"/>
                <w:sz w:val="21"/>
                <w:szCs w:val="21"/>
                <w:u w:val="none"/>
              </w:rPr>
            </w:pPr>
          </w:p>
        </w:tc>
        <w:tc>
          <w:tcPr>
            <w:tcW w:w="432" w:type="pct"/>
            <w:vMerge w:val="restart"/>
            <w:shd w:val="clear" w:color="auto" w:fill="auto"/>
            <w:vAlign w:val="center"/>
          </w:tcPr>
          <w:p w14:paraId="0F529F3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单价限价（含9%税）</w:t>
            </w:r>
          </w:p>
        </w:tc>
        <w:tc>
          <w:tcPr>
            <w:tcW w:w="574" w:type="pct"/>
            <w:vMerge w:val="restart"/>
            <w:shd w:val="clear" w:color="auto" w:fill="auto"/>
            <w:vAlign w:val="center"/>
          </w:tcPr>
          <w:p w14:paraId="5E9BF3C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单价报价（含9%税）</w:t>
            </w:r>
          </w:p>
        </w:tc>
        <w:tc>
          <w:tcPr>
            <w:tcW w:w="575" w:type="pct"/>
            <w:vMerge w:val="restart"/>
            <w:shd w:val="clear" w:color="auto" w:fill="auto"/>
            <w:vAlign w:val="center"/>
          </w:tcPr>
          <w:p w14:paraId="1D358F3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总价（含9%税）</w:t>
            </w:r>
          </w:p>
        </w:tc>
      </w:tr>
      <w:tr w14:paraId="114AEA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60" w:hRule="atLeast"/>
        </w:trPr>
        <w:tc>
          <w:tcPr>
            <w:tcW w:w="328" w:type="pct"/>
            <w:vMerge w:val="continue"/>
            <w:shd w:val="clear" w:color="auto" w:fill="auto"/>
            <w:vAlign w:val="center"/>
          </w:tcPr>
          <w:p w14:paraId="28724577">
            <w:pPr>
              <w:jc w:val="center"/>
              <w:rPr>
                <w:rFonts w:hint="eastAsia" w:ascii="黑体" w:hAnsi="宋体" w:eastAsia="黑体" w:cs="黑体"/>
                <w:i w:val="0"/>
                <w:iCs w:val="0"/>
                <w:color w:val="000000"/>
                <w:sz w:val="21"/>
                <w:szCs w:val="21"/>
                <w:u w:val="none"/>
              </w:rPr>
            </w:pPr>
          </w:p>
        </w:tc>
        <w:tc>
          <w:tcPr>
            <w:tcW w:w="454" w:type="pct"/>
            <w:vMerge w:val="continue"/>
            <w:shd w:val="clear" w:color="auto" w:fill="auto"/>
            <w:vAlign w:val="center"/>
          </w:tcPr>
          <w:p w14:paraId="46FB3703">
            <w:pPr>
              <w:jc w:val="center"/>
              <w:rPr>
                <w:rFonts w:hint="eastAsia" w:ascii="黑体" w:hAnsi="宋体" w:eastAsia="黑体" w:cs="黑体"/>
                <w:i w:val="0"/>
                <w:iCs w:val="0"/>
                <w:color w:val="000000"/>
                <w:sz w:val="21"/>
                <w:szCs w:val="21"/>
                <w:u w:val="none"/>
              </w:rPr>
            </w:pPr>
          </w:p>
        </w:tc>
        <w:tc>
          <w:tcPr>
            <w:tcW w:w="1923" w:type="pct"/>
            <w:vMerge w:val="continue"/>
            <w:shd w:val="clear" w:color="auto" w:fill="auto"/>
            <w:vAlign w:val="center"/>
          </w:tcPr>
          <w:p w14:paraId="7E7826E1">
            <w:pPr>
              <w:jc w:val="center"/>
              <w:rPr>
                <w:rFonts w:hint="eastAsia" w:ascii="黑体" w:hAnsi="宋体" w:eastAsia="黑体" w:cs="黑体"/>
                <w:i w:val="0"/>
                <w:iCs w:val="0"/>
                <w:color w:val="000000"/>
                <w:sz w:val="21"/>
                <w:szCs w:val="21"/>
                <w:u w:val="none"/>
              </w:rPr>
            </w:pPr>
          </w:p>
        </w:tc>
        <w:tc>
          <w:tcPr>
            <w:tcW w:w="236" w:type="pct"/>
            <w:vMerge w:val="continue"/>
            <w:shd w:val="clear" w:color="auto" w:fill="auto"/>
            <w:vAlign w:val="center"/>
          </w:tcPr>
          <w:p w14:paraId="1D3AA3B4">
            <w:pPr>
              <w:jc w:val="center"/>
              <w:rPr>
                <w:rFonts w:hint="eastAsia" w:ascii="黑体" w:hAnsi="宋体" w:eastAsia="黑体" w:cs="黑体"/>
                <w:i w:val="0"/>
                <w:iCs w:val="0"/>
                <w:color w:val="000000"/>
                <w:sz w:val="21"/>
                <w:szCs w:val="21"/>
                <w:u w:val="none"/>
              </w:rPr>
            </w:pPr>
          </w:p>
        </w:tc>
        <w:tc>
          <w:tcPr>
            <w:tcW w:w="474" w:type="pct"/>
            <w:vMerge w:val="continue"/>
            <w:shd w:val="clear" w:color="auto" w:fill="auto"/>
            <w:vAlign w:val="center"/>
          </w:tcPr>
          <w:p w14:paraId="00E676EF">
            <w:pPr>
              <w:jc w:val="center"/>
              <w:rPr>
                <w:rFonts w:hint="eastAsia" w:ascii="黑体" w:hAnsi="宋体" w:eastAsia="黑体" w:cs="黑体"/>
                <w:i w:val="0"/>
                <w:iCs w:val="0"/>
                <w:color w:val="000000"/>
                <w:sz w:val="21"/>
                <w:szCs w:val="21"/>
                <w:u w:val="none"/>
              </w:rPr>
            </w:pPr>
          </w:p>
        </w:tc>
        <w:tc>
          <w:tcPr>
            <w:tcW w:w="432" w:type="pct"/>
            <w:vMerge w:val="continue"/>
            <w:shd w:val="clear" w:color="auto" w:fill="auto"/>
            <w:vAlign w:val="center"/>
          </w:tcPr>
          <w:p w14:paraId="6141F6A6">
            <w:pPr>
              <w:jc w:val="center"/>
              <w:rPr>
                <w:rFonts w:hint="eastAsia" w:ascii="宋体" w:hAnsi="宋体" w:eastAsia="宋体" w:cs="宋体"/>
                <w:i w:val="0"/>
                <w:iCs w:val="0"/>
                <w:color w:val="000000"/>
                <w:sz w:val="21"/>
                <w:szCs w:val="21"/>
                <w:u w:val="none"/>
              </w:rPr>
            </w:pPr>
          </w:p>
        </w:tc>
        <w:tc>
          <w:tcPr>
            <w:tcW w:w="574" w:type="pct"/>
            <w:vMerge w:val="continue"/>
            <w:shd w:val="clear" w:color="auto" w:fill="auto"/>
            <w:vAlign w:val="center"/>
          </w:tcPr>
          <w:p w14:paraId="0B645102">
            <w:pPr>
              <w:jc w:val="center"/>
              <w:rPr>
                <w:rFonts w:hint="eastAsia" w:ascii="宋体" w:hAnsi="宋体" w:eastAsia="宋体" w:cs="宋体"/>
                <w:i w:val="0"/>
                <w:iCs w:val="0"/>
                <w:color w:val="000000"/>
                <w:sz w:val="21"/>
                <w:szCs w:val="21"/>
                <w:u w:val="none"/>
              </w:rPr>
            </w:pPr>
          </w:p>
        </w:tc>
        <w:tc>
          <w:tcPr>
            <w:tcW w:w="575" w:type="pct"/>
            <w:vMerge w:val="continue"/>
            <w:shd w:val="clear" w:color="auto" w:fill="auto"/>
            <w:vAlign w:val="center"/>
          </w:tcPr>
          <w:p w14:paraId="7ED32D09">
            <w:pPr>
              <w:jc w:val="center"/>
              <w:rPr>
                <w:rFonts w:hint="eastAsia" w:ascii="宋体" w:hAnsi="宋体" w:eastAsia="宋体" w:cs="宋体"/>
                <w:i w:val="0"/>
                <w:iCs w:val="0"/>
                <w:color w:val="000000"/>
                <w:sz w:val="21"/>
                <w:szCs w:val="21"/>
                <w:u w:val="none"/>
              </w:rPr>
            </w:pPr>
          </w:p>
        </w:tc>
      </w:tr>
      <w:tr w14:paraId="64F2F8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440" w:hRule="atLeast"/>
        </w:trPr>
        <w:tc>
          <w:tcPr>
            <w:tcW w:w="328" w:type="pct"/>
            <w:shd w:val="clear" w:color="auto" w:fill="auto"/>
            <w:vAlign w:val="center"/>
          </w:tcPr>
          <w:p w14:paraId="121D554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454" w:type="pct"/>
            <w:shd w:val="clear" w:color="auto" w:fill="auto"/>
            <w:vAlign w:val="center"/>
          </w:tcPr>
          <w:p w14:paraId="71A21C1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挖一般土方</w:t>
            </w:r>
          </w:p>
        </w:tc>
        <w:tc>
          <w:tcPr>
            <w:tcW w:w="1923" w:type="pct"/>
            <w:shd w:val="clear" w:color="auto" w:fill="auto"/>
            <w:vAlign w:val="center"/>
          </w:tcPr>
          <w:p w14:paraId="1622980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土壤类别：供应商自行踏勘现场，应充分考虑现场可能存在的场地平整、水塘、杆线、沟渠、废弃管井、淤泥、地表水、场内杂草、菜地、苗木植被、房屋基础、地表垃圾、地下障碍物等不利因素，机械挖土（土方不准外运，内倒至采购人指定位置），开挖方案按照甲方要求施工，成交后不予调整</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2、施工范围内及邻近范围建筑物、行道路及地下管线等情况,对有影响的应采取有效的加固或隔震等措施进行保护；堆土场由甲方指定</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3、挖土深度：图纸设计完成面标高</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4、未尽事宜：具体详见设计、图集、答疑、采购文件、政府相关文件、规范等其他资料，满足验收要求</w:t>
            </w:r>
          </w:p>
        </w:tc>
        <w:tc>
          <w:tcPr>
            <w:tcW w:w="236" w:type="pct"/>
            <w:shd w:val="clear" w:color="auto" w:fill="auto"/>
            <w:vAlign w:val="center"/>
          </w:tcPr>
          <w:p w14:paraId="0BD7A53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m3</w:t>
            </w:r>
          </w:p>
        </w:tc>
        <w:tc>
          <w:tcPr>
            <w:tcW w:w="474" w:type="pct"/>
            <w:shd w:val="clear" w:color="auto" w:fill="auto"/>
            <w:vAlign w:val="center"/>
          </w:tcPr>
          <w:p w14:paraId="33011F74">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37552.97</w:t>
            </w:r>
          </w:p>
        </w:tc>
        <w:tc>
          <w:tcPr>
            <w:tcW w:w="432" w:type="pct"/>
            <w:shd w:val="clear" w:color="auto" w:fill="auto"/>
            <w:vAlign w:val="center"/>
          </w:tcPr>
          <w:p w14:paraId="14599EE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574" w:type="pct"/>
            <w:shd w:val="clear" w:color="auto" w:fill="auto"/>
            <w:vAlign w:val="center"/>
          </w:tcPr>
          <w:p w14:paraId="40969BA8">
            <w:pPr>
              <w:jc w:val="right"/>
              <w:rPr>
                <w:rFonts w:hint="eastAsia" w:ascii="宋体" w:hAnsi="宋体" w:eastAsia="宋体" w:cs="宋体"/>
                <w:i w:val="0"/>
                <w:iCs w:val="0"/>
                <w:color w:val="000000"/>
                <w:sz w:val="21"/>
                <w:szCs w:val="21"/>
                <w:u w:val="none"/>
              </w:rPr>
            </w:pPr>
          </w:p>
        </w:tc>
        <w:tc>
          <w:tcPr>
            <w:tcW w:w="575" w:type="pct"/>
            <w:shd w:val="clear" w:color="auto" w:fill="auto"/>
            <w:vAlign w:val="center"/>
          </w:tcPr>
          <w:p w14:paraId="0CBB9E88">
            <w:pPr>
              <w:jc w:val="right"/>
              <w:rPr>
                <w:rFonts w:hint="eastAsia" w:ascii="宋体" w:hAnsi="宋体" w:eastAsia="宋体" w:cs="宋体"/>
                <w:i w:val="0"/>
                <w:iCs w:val="0"/>
                <w:color w:val="000000"/>
                <w:sz w:val="21"/>
                <w:szCs w:val="21"/>
                <w:u w:val="none"/>
              </w:rPr>
            </w:pPr>
          </w:p>
        </w:tc>
      </w:tr>
      <w:tr w14:paraId="62F86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00" w:hRule="atLeast"/>
        </w:trPr>
        <w:tc>
          <w:tcPr>
            <w:tcW w:w="328" w:type="pct"/>
            <w:shd w:val="clear" w:color="auto" w:fill="auto"/>
            <w:vAlign w:val="center"/>
          </w:tcPr>
          <w:p w14:paraId="630786C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454" w:type="pct"/>
            <w:shd w:val="clear" w:color="auto" w:fill="auto"/>
            <w:vAlign w:val="center"/>
          </w:tcPr>
          <w:p w14:paraId="6330BDB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基坑基槽刮底</w:t>
            </w:r>
          </w:p>
        </w:tc>
        <w:tc>
          <w:tcPr>
            <w:tcW w:w="1923" w:type="pct"/>
            <w:shd w:val="clear" w:color="auto" w:fill="auto"/>
            <w:vAlign w:val="center"/>
          </w:tcPr>
          <w:p w14:paraId="4AD331E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1、基础垫层以上30cm范围内土方、包含土方清运；包含基础承台、墩柱、排水沟、电梯井、集水井等基坑基槽的开挖、刮平清槽等工作；计量方式为基础垫层接触面面积</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2、土壤类别：供应商自行踏勘现场综合考虑</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3、未尽事宜：具体详见设计、图集、答疑、采购文件、政府相关文件、规范等其他资料，满足验收要求</w:t>
            </w:r>
          </w:p>
        </w:tc>
        <w:tc>
          <w:tcPr>
            <w:tcW w:w="236" w:type="pct"/>
            <w:shd w:val="clear" w:color="auto" w:fill="auto"/>
            <w:vAlign w:val="center"/>
          </w:tcPr>
          <w:p w14:paraId="2A8F427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474" w:type="pct"/>
            <w:shd w:val="clear" w:color="auto" w:fill="auto"/>
            <w:vAlign w:val="center"/>
          </w:tcPr>
          <w:p w14:paraId="50A680DE">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2897.67</w:t>
            </w:r>
          </w:p>
        </w:tc>
        <w:tc>
          <w:tcPr>
            <w:tcW w:w="432" w:type="pct"/>
            <w:shd w:val="clear" w:color="auto" w:fill="auto"/>
            <w:vAlign w:val="center"/>
          </w:tcPr>
          <w:p w14:paraId="6F4D519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574" w:type="pct"/>
            <w:shd w:val="clear" w:color="auto" w:fill="auto"/>
            <w:vAlign w:val="center"/>
          </w:tcPr>
          <w:p w14:paraId="2DE46DFD">
            <w:pPr>
              <w:jc w:val="right"/>
              <w:rPr>
                <w:rFonts w:hint="eastAsia" w:ascii="宋体" w:hAnsi="宋体" w:eastAsia="宋体" w:cs="宋体"/>
                <w:i w:val="0"/>
                <w:iCs w:val="0"/>
                <w:color w:val="000000"/>
                <w:sz w:val="21"/>
                <w:szCs w:val="21"/>
                <w:u w:val="none"/>
              </w:rPr>
            </w:pPr>
          </w:p>
        </w:tc>
        <w:tc>
          <w:tcPr>
            <w:tcW w:w="575" w:type="pct"/>
            <w:shd w:val="clear" w:color="auto" w:fill="auto"/>
            <w:vAlign w:val="center"/>
          </w:tcPr>
          <w:p w14:paraId="5D5598CC">
            <w:pPr>
              <w:jc w:val="right"/>
              <w:rPr>
                <w:rFonts w:hint="eastAsia" w:ascii="宋体" w:hAnsi="宋体" w:eastAsia="宋体" w:cs="宋体"/>
                <w:i w:val="0"/>
                <w:iCs w:val="0"/>
                <w:color w:val="000000"/>
                <w:sz w:val="21"/>
                <w:szCs w:val="21"/>
                <w:u w:val="none"/>
              </w:rPr>
            </w:pPr>
          </w:p>
        </w:tc>
      </w:tr>
      <w:tr w14:paraId="321824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060" w:hRule="atLeast"/>
        </w:trPr>
        <w:tc>
          <w:tcPr>
            <w:tcW w:w="328" w:type="pct"/>
            <w:shd w:val="clear" w:color="auto" w:fill="auto"/>
            <w:vAlign w:val="center"/>
          </w:tcPr>
          <w:p w14:paraId="6DBA40D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454" w:type="pct"/>
            <w:shd w:val="clear" w:color="auto" w:fill="auto"/>
            <w:vAlign w:val="center"/>
          </w:tcPr>
          <w:p w14:paraId="207DC64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场区平整</w:t>
            </w:r>
          </w:p>
        </w:tc>
        <w:tc>
          <w:tcPr>
            <w:tcW w:w="1923" w:type="pct"/>
            <w:shd w:val="clear" w:color="auto" w:fill="auto"/>
            <w:vAlign w:val="center"/>
          </w:tcPr>
          <w:p w14:paraId="35FA1BA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场区：供应商勘察现场自行考虑报价，包含开挖过程中可能的杂草、杂树、庄稼、苗木植被、垃圾、房屋基础、淤泥、建筑物、构筑物等所有施工障碍物；包含场区内围墙、停车场道路及停车位等构件的拆除及垃圾处置工作（按照采购人要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2、运距：供应商勘察现场自行考虑报价，成交后不予调整</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3、要求：响应报价中充分考虑清表整平、低洼坑、高土堆整平、保洁费、协调费、弃土场费、修建运输通道等费用，以及市容、路政、环保部门征收的等一切费用，综合考虑在报价中，成交后一律不予调整</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4、未尽事宜：具体详见设计、图集、答疑、采购文件、政府相关文件、规范等其他资料，满足验收要求</w:t>
            </w:r>
          </w:p>
        </w:tc>
        <w:tc>
          <w:tcPr>
            <w:tcW w:w="236" w:type="pct"/>
            <w:shd w:val="clear" w:color="auto" w:fill="auto"/>
            <w:vAlign w:val="center"/>
          </w:tcPr>
          <w:p w14:paraId="0C8CB4A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474" w:type="pct"/>
            <w:shd w:val="clear" w:color="auto" w:fill="auto"/>
            <w:vAlign w:val="center"/>
          </w:tcPr>
          <w:p w14:paraId="1670199C">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55000</w:t>
            </w:r>
          </w:p>
        </w:tc>
        <w:tc>
          <w:tcPr>
            <w:tcW w:w="432" w:type="pct"/>
            <w:shd w:val="clear" w:color="auto" w:fill="auto"/>
            <w:vAlign w:val="center"/>
          </w:tcPr>
          <w:p w14:paraId="2F02002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574" w:type="pct"/>
            <w:shd w:val="clear" w:color="auto" w:fill="auto"/>
            <w:vAlign w:val="center"/>
          </w:tcPr>
          <w:p w14:paraId="6EB54BB8">
            <w:pPr>
              <w:jc w:val="right"/>
              <w:rPr>
                <w:rFonts w:hint="eastAsia" w:ascii="宋体" w:hAnsi="宋体" w:eastAsia="宋体" w:cs="宋体"/>
                <w:i w:val="0"/>
                <w:iCs w:val="0"/>
                <w:color w:val="000000"/>
                <w:sz w:val="21"/>
                <w:szCs w:val="21"/>
                <w:u w:val="none"/>
              </w:rPr>
            </w:pPr>
          </w:p>
        </w:tc>
        <w:tc>
          <w:tcPr>
            <w:tcW w:w="575" w:type="pct"/>
            <w:shd w:val="clear" w:color="auto" w:fill="auto"/>
            <w:vAlign w:val="center"/>
          </w:tcPr>
          <w:p w14:paraId="1CA829F9">
            <w:pPr>
              <w:jc w:val="right"/>
              <w:rPr>
                <w:rFonts w:hint="eastAsia" w:ascii="宋体" w:hAnsi="宋体" w:eastAsia="宋体" w:cs="宋体"/>
                <w:i w:val="0"/>
                <w:iCs w:val="0"/>
                <w:color w:val="000000"/>
                <w:sz w:val="21"/>
                <w:szCs w:val="21"/>
                <w:u w:val="none"/>
              </w:rPr>
            </w:pPr>
          </w:p>
        </w:tc>
      </w:tr>
      <w:tr w14:paraId="24A46C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060" w:hRule="atLeast"/>
        </w:trPr>
        <w:tc>
          <w:tcPr>
            <w:tcW w:w="328" w:type="pct"/>
            <w:shd w:val="clear" w:color="auto" w:fill="auto"/>
            <w:vAlign w:val="center"/>
          </w:tcPr>
          <w:p w14:paraId="318CD76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454" w:type="pct"/>
            <w:shd w:val="clear" w:color="auto" w:fill="auto"/>
            <w:vAlign w:val="center"/>
          </w:tcPr>
          <w:p w14:paraId="232569E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回填方</w:t>
            </w:r>
          </w:p>
        </w:tc>
        <w:tc>
          <w:tcPr>
            <w:tcW w:w="1923" w:type="pct"/>
            <w:shd w:val="clear" w:color="auto" w:fill="auto"/>
            <w:vAlign w:val="center"/>
          </w:tcPr>
          <w:p w14:paraId="02C4098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1、部位：基坑范围内、顶板回填等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2、密实度要求：回填前应先清除基坑中杂物,并应在两侧或四周同时且对称回填,夯实时分层厚度不大于300mm。严禁采用垃圾土或淤泥土回填,回填施工时应防止损伤防水层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3、运距：供应商勘察现场自行考虑报价，成交后不予调整</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4、填方材料品种：素土，土源自行考虑</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备注：包含但不限于顶板及基坑、红线范围以内土方回填等，回填方式自行考虑报价，成交后不予调整；机械回填土从施工现场采购人指定地方取土，在场区内；土方回填、分层压实（压实需符合图纸和规范要求，回填夯实后整平至图纸设计标高），包与土方有关的验收，如回填土的压实系数实验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6、要求：响应报价中充分考虑土源费、保洁费、协调费、修建运输通道等费用，以及市容、路政、环保部门征收的等一切费用，综合考虑在报价中，成交后一律不予调整</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7、未尽事宜：具体详见设计、图集、答疑、采购文件、政府相关文件、规范等其他资料，满足验收要求</w:t>
            </w:r>
          </w:p>
        </w:tc>
        <w:tc>
          <w:tcPr>
            <w:tcW w:w="236" w:type="pct"/>
            <w:shd w:val="clear" w:color="auto" w:fill="auto"/>
            <w:vAlign w:val="center"/>
          </w:tcPr>
          <w:p w14:paraId="1F10774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m3</w:t>
            </w:r>
          </w:p>
        </w:tc>
        <w:tc>
          <w:tcPr>
            <w:tcW w:w="474" w:type="pct"/>
            <w:shd w:val="clear" w:color="auto" w:fill="auto"/>
            <w:vAlign w:val="center"/>
          </w:tcPr>
          <w:p w14:paraId="47058A01">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32883.4</w:t>
            </w:r>
          </w:p>
        </w:tc>
        <w:tc>
          <w:tcPr>
            <w:tcW w:w="432" w:type="pct"/>
            <w:shd w:val="clear" w:color="auto" w:fill="auto"/>
            <w:vAlign w:val="center"/>
          </w:tcPr>
          <w:p w14:paraId="426898A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574" w:type="pct"/>
            <w:shd w:val="clear" w:color="auto" w:fill="auto"/>
            <w:vAlign w:val="center"/>
          </w:tcPr>
          <w:p w14:paraId="4050434F">
            <w:pPr>
              <w:jc w:val="right"/>
              <w:rPr>
                <w:rFonts w:hint="eastAsia" w:ascii="宋体" w:hAnsi="宋体" w:eastAsia="宋体" w:cs="宋体"/>
                <w:i w:val="0"/>
                <w:iCs w:val="0"/>
                <w:color w:val="000000"/>
                <w:sz w:val="21"/>
                <w:szCs w:val="21"/>
                <w:u w:val="none"/>
              </w:rPr>
            </w:pPr>
          </w:p>
        </w:tc>
        <w:tc>
          <w:tcPr>
            <w:tcW w:w="575" w:type="pct"/>
            <w:shd w:val="clear" w:color="auto" w:fill="auto"/>
            <w:vAlign w:val="center"/>
          </w:tcPr>
          <w:p w14:paraId="0F8017EF">
            <w:pPr>
              <w:jc w:val="right"/>
              <w:rPr>
                <w:rFonts w:hint="eastAsia" w:ascii="宋体" w:hAnsi="宋体" w:eastAsia="宋体" w:cs="宋体"/>
                <w:i w:val="0"/>
                <w:iCs w:val="0"/>
                <w:color w:val="000000"/>
                <w:sz w:val="21"/>
                <w:szCs w:val="21"/>
                <w:u w:val="none"/>
              </w:rPr>
            </w:pPr>
          </w:p>
        </w:tc>
      </w:tr>
      <w:tr w14:paraId="66ECC3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080" w:hRule="atLeast"/>
        </w:trPr>
        <w:tc>
          <w:tcPr>
            <w:tcW w:w="328" w:type="pct"/>
            <w:shd w:val="clear" w:color="auto" w:fill="auto"/>
            <w:vAlign w:val="center"/>
          </w:tcPr>
          <w:p w14:paraId="20AFFC6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454" w:type="pct"/>
            <w:shd w:val="clear" w:color="auto" w:fill="auto"/>
            <w:vAlign w:val="center"/>
          </w:tcPr>
          <w:p w14:paraId="0330C76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回填方</w:t>
            </w:r>
          </w:p>
        </w:tc>
        <w:tc>
          <w:tcPr>
            <w:tcW w:w="1923" w:type="pct"/>
            <w:shd w:val="clear" w:color="auto" w:fill="auto"/>
            <w:vAlign w:val="center"/>
          </w:tcPr>
          <w:p w14:paraId="5CF4BEC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1、部位：地下室四周3:7灰土回填,分层回填，具体回填范围以发包人要求为准，回填方式自行考虑报价，成交后不予调整</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2、运距：供应商勘察现场自行考虑报价，成交后不予调整</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3、要求：响应报价中充分考虑土源费、保洁费、协调费、修建运输通道等费用，以及市容、路政、环保部门征收的等一切费用，综合考虑在报价中，成交后一律不予调整</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4、未尽事宜：具体详见设计、图集、答疑、采购文件、政府相关文件、规范等其他资料，满足验收要求</w:t>
            </w:r>
          </w:p>
        </w:tc>
        <w:tc>
          <w:tcPr>
            <w:tcW w:w="236" w:type="pct"/>
            <w:shd w:val="clear" w:color="auto" w:fill="auto"/>
            <w:vAlign w:val="center"/>
          </w:tcPr>
          <w:p w14:paraId="169275B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m3</w:t>
            </w:r>
          </w:p>
        </w:tc>
        <w:tc>
          <w:tcPr>
            <w:tcW w:w="474" w:type="pct"/>
            <w:shd w:val="clear" w:color="auto" w:fill="auto"/>
            <w:vAlign w:val="center"/>
          </w:tcPr>
          <w:p w14:paraId="08148725">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360.48</w:t>
            </w:r>
          </w:p>
        </w:tc>
        <w:tc>
          <w:tcPr>
            <w:tcW w:w="432" w:type="pct"/>
            <w:shd w:val="clear" w:color="auto" w:fill="auto"/>
            <w:vAlign w:val="center"/>
          </w:tcPr>
          <w:p w14:paraId="3544573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574" w:type="pct"/>
            <w:shd w:val="clear" w:color="auto" w:fill="auto"/>
            <w:vAlign w:val="center"/>
          </w:tcPr>
          <w:p w14:paraId="49936494">
            <w:pPr>
              <w:jc w:val="right"/>
              <w:rPr>
                <w:rFonts w:hint="eastAsia" w:ascii="宋体" w:hAnsi="宋体" w:eastAsia="宋体" w:cs="宋体"/>
                <w:i w:val="0"/>
                <w:iCs w:val="0"/>
                <w:color w:val="000000"/>
                <w:sz w:val="21"/>
                <w:szCs w:val="21"/>
                <w:u w:val="none"/>
              </w:rPr>
            </w:pPr>
          </w:p>
        </w:tc>
        <w:tc>
          <w:tcPr>
            <w:tcW w:w="575" w:type="pct"/>
            <w:shd w:val="clear" w:color="auto" w:fill="auto"/>
            <w:vAlign w:val="center"/>
          </w:tcPr>
          <w:p w14:paraId="1EC58955">
            <w:pPr>
              <w:jc w:val="right"/>
              <w:rPr>
                <w:rFonts w:hint="eastAsia" w:ascii="宋体" w:hAnsi="宋体" w:eastAsia="宋体" w:cs="宋体"/>
                <w:i w:val="0"/>
                <w:iCs w:val="0"/>
                <w:color w:val="000000"/>
                <w:sz w:val="21"/>
                <w:szCs w:val="21"/>
                <w:u w:val="none"/>
              </w:rPr>
            </w:pPr>
          </w:p>
        </w:tc>
      </w:tr>
      <w:tr w14:paraId="0CDF03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60" w:hRule="atLeast"/>
        </w:trPr>
        <w:tc>
          <w:tcPr>
            <w:tcW w:w="328" w:type="pct"/>
            <w:shd w:val="clear" w:color="auto" w:fill="auto"/>
            <w:vAlign w:val="center"/>
          </w:tcPr>
          <w:p w14:paraId="6CE8393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454" w:type="pct"/>
            <w:shd w:val="clear" w:color="auto" w:fill="auto"/>
            <w:vAlign w:val="center"/>
          </w:tcPr>
          <w:p w14:paraId="0AC974E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小挖掘机</w:t>
            </w:r>
          </w:p>
        </w:tc>
        <w:tc>
          <w:tcPr>
            <w:tcW w:w="1923" w:type="pct"/>
            <w:vMerge w:val="restart"/>
            <w:shd w:val="clear" w:color="auto" w:fill="auto"/>
            <w:vAlign w:val="center"/>
          </w:tcPr>
          <w:p w14:paraId="0F32865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本项不参与报价，根据实际使用情况，按固定综合单价进行结算。（甲方根据项目工作需要通知使用，供应商不得以任何理由拒绝，否则视为违约。）</w:t>
            </w:r>
          </w:p>
        </w:tc>
        <w:tc>
          <w:tcPr>
            <w:tcW w:w="236" w:type="pct"/>
            <w:shd w:val="clear" w:color="auto" w:fill="auto"/>
            <w:vAlign w:val="center"/>
          </w:tcPr>
          <w:p w14:paraId="3307FDA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小时</w:t>
            </w:r>
          </w:p>
        </w:tc>
        <w:tc>
          <w:tcPr>
            <w:tcW w:w="474" w:type="pct"/>
            <w:shd w:val="clear" w:color="auto" w:fill="auto"/>
            <w:vAlign w:val="center"/>
          </w:tcPr>
          <w:p w14:paraId="3DD827F1">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按实结算</w:t>
            </w:r>
          </w:p>
        </w:tc>
        <w:tc>
          <w:tcPr>
            <w:tcW w:w="432" w:type="pct"/>
            <w:shd w:val="clear" w:color="auto" w:fill="auto"/>
            <w:vAlign w:val="center"/>
          </w:tcPr>
          <w:p w14:paraId="1E72E2A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120元/小时</w:t>
            </w:r>
          </w:p>
        </w:tc>
        <w:tc>
          <w:tcPr>
            <w:tcW w:w="574" w:type="pct"/>
            <w:shd w:val="clear" w:color="auto" w:fill="auto"/>
            <w:vAlign w:val="center"/>
          </w:tcPr>
          <w:p w14:paraId="076133AA">
            <w:pPr>
              <w:jc w:val="right"/>
              <w:rPr>
                <w:rFonts w:hint="eastAsia" w:ascii="宋体" w:hAnsi="宋体" w:eastAsia="宋体" w:cs="宋体"/>
                <w:i w:val="0"/>
                <w:iCs w:val="0"/>
                <w:color w:val="000000"/>
                <w:sz w:val="21"/>
                <w:szCs w:val="21"/>
                <w:u w:val="none"/>
              </w:rPr>
            </w:pPr>
          </w:p>
        </w:tc>
        <w:tc>
          <w:tcPr>
            <w:tcW w:w="575" w:type="pct"/>
            <w:shd w:val="clear" w:color="auto" w:fill="auto"/>
            <w:vAlign w:val="center"/>
          </w:tcPr>
          <w:p w14:paraId="79A6AAC6">
            <w:pPr>
              <w:jc w:val="right"/>
              <w:rPr>
                <w:rFonts w:hint="eastAsia" w:ascii="宋体" w:hAnsi="宋体" w:eastAsia="宋体" w:cs="宋体"/>
                <w:i w:val="0"/>
                <w:iCs w:val="0"/>
                <w:color w:val="000000"/>
                <w:sz w:val="21"/>
                <w:szCs w:val="21"/>
                <w:u w:val="none"/>
              </w:rPr>
            </w:pPr>
          </w:p>
        </w:tc>
      </w:tr>
      <w:tr w14:paraId="07D12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60" w:hRule="atLeast"/>
        </w:trPr>
        <w:tc>
          <w:tcPr>
            <w:tcW w:w="328" w:type="pct"/>
            <w:shd w:val="clear" w:color="auto" w:fill="auto"/>
            <w:vAlign w:val="center"/>
          </w:tcPr>
          <w:p w14:paraId="0062308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454" w:type="pct"/>
            <w:shd w:val="clear" w:color="auto" w:fill="auto"/>
            <w:vAlign w:val="center"/>
          </w:tcPr>
          <w:p w14:paraId="18EC016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大挖掘机</w:t>
            </w:r>
          </w:p>
        </w:tc>
        <w:tc>
          <w:tcPr>
            <w:tcW w:w="1923" w:type="pct"/>
            <w:vMerge w:val="continue"/>
            <w:shd w:val="clear" w:color="auto" w:fill="auto"/>
            <w:vAlign w:val="center"/>
          </w:tcPr>
          <w:p w14:paraId="25691F62">
            <w:pPr>
              <w:jc w:val="center"/>
              <w:rPr>
                <w:rFonts w:hint="eastAsia" w:ascii="宋体" w:hAnsi="宋体" w:eastAsia="宋体" w:cs="宋体"/>
                <w:i w:val="0"/>
                <w:iCs w:val="0"/>
                <w:color w:val="000000"/>
                <w:sz w:val="21"/>
                <w:szCs w:val="21"/>
                <w:u w:val="none"/>
              </w:rPr>
            </w:pPr>
          </w:p>
        </w:tc>
        <w:tc>
          <w:tcPr>
            <w:tcW w:w="236" w:type="pct"/>
            <w:shd w:val="clear" w:color="auto" w:fill="auto"/>
            <w:vAlign w:val="center"/>
          </w:tcPr>
          <w:p w14:paraId="310719E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小时</w:t>
            </w:r>
          </w:p>
        </w:tc>
        <w:tc>
          <w:tcPr>
            <w:tcW w:w="474" w:type="pct"/>
            <w:shd w:val="clear" w:color="auto" w:fill="auto"/>
            <w:vAlign w:val="center"/>
          </w:tcPr>
          <w:p w14:paraId="5A2B9F27">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按实结算</w:t>
            </w:r>
          </w:p>
        </w:tc>
        <w:tc>
          <w:tcPr>
            <w:tcW w:w="432" w:type="pct"/>
            <w:shd w:val="clear" w:color="auto" w:fill="auto"/>
            <w:vAlign w:val="center"/>
          </w:tcPr>
          <w:p w14:paraId="59768B9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240元/小时</w:t>
            </w:r>
          </w:p>
        </w:tc>
        <w:tc>
          <w:tcPr>
            <w:tcW w:w="574" w:type="pct"/>
            <w:shd w:val="clear" w:color="auto" w:fill="auto"/>
            <w:vAlign w:val="center"/>
          </w:tcPr>
          <w:p w14:paraId="7E276CFE">
            <w:pPr>
              <w:jc w:val="right"/>
              <w:rPr>
                <w:rFonts w:hint="eastAsia" w:ascii="宋体" w:hAnsi="宋体" w:eastAsia="宋体" w:cs="宋体"/>
                <w:i w:val="0"/>
                <w:iCs w:val="0"/>
                <w:color w:val="000000"/>
                <w:sz w:val="21"/>
                <w:szCs w:val="21"/>
                <w:u w:val="none"/>
              </w:rPr>
            </w:pPr>
          </w:p>
        </w:tc>
        <w:tc>
          <w:tcPr>
            <w:tcW w:w="575" w:type="pct"/>
            <w:shd w:val="clear" w:color="auto" w:fill="auto"/>
            <w:vAlign w:val="center"/>
          </w:tcPr>
          <w:p w14:paraId="0DD80843">
            <w:pPr>
              <w:jc w:val="right"/>
              <w:rPr>
                <w:rFonts w:hint="eastAsia" w:ascii="宋体" w:hAnsi="宋体" w:eastAsia="宋体" w:cs="宋体"/>
                <w:i w:val="0"/>
                <w:iCs w:val="0"/>
                <w:color w:val="000000"/>
                <w:sz w:val="21"/>
                <w:szCs w:val="21"/>
                <w:u w:val="none"/>
              </w:rPr>
            </w:pPr>
          </w:p>
        </w:tc>
      </w:tr>
      <w:tr w14:paraId="39A13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60" w:hRule="atLeast"/>
        </w:trPr>
        <w:tc>
          <w:tcPr>
            <w:tcW w:w="328" w:type="pct"/>
            <w:shd w:val="clear" w:color="auto" w:fill="auto"/>
            <w:vAlign w:val="center"/>
          </w:tcPr>
          <w:p w14:paraId="1C23DF7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454" w:type="pct"/>
            <w:shd w:val="clear" w:color="auto" w:fill="auto"/>
            <w:vAlign w:val="center"/>
          </w:tcPr>
          <w:p w14:paraId="6B0F808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r>
              <w:rPr>
                <w:rFonts w:hint="eastAsia" w:ascii="宋体" w:hAnsi="宋体" w:eastAsia="宋体" w:cs="宋体"/>
                <w:i w:val="0"/>
                <w:iCs w:val="0"/>
                <w:color w:val="000000"/>
                <w:kern w:val="0"/>
                <w:sz w:val="18"/>
                <w:szCs w:val="18"/>
                <w:u w:val="none"/>
                <w:lang w:val="en-US" w:eastAsia="zh-CN" w:bidi="ar"/>
              </w:rPr>
              <w:t>型铲车</w:t>
            </w:r>
          </w:p>
        </w:tc>
        <w:tc>
          <w:tcPr>
            <w:tcW w:w="1923" w:type="pct"/>
            <w:vMerge w:val="continue"/>
            <w:shd w:val="clear" w:color="auto" w:fill="auto"/>
            <w:vAlign w:val="center"/>
          </w:tcPr>
          <w:p w14:paraId="55C01830">
            <w:pPr>
              <w:jc w:val="center"/>
              <w:rPr>
                <w:rFonts w:hint="eastAsia" w:ascii="宋体" w:hAnsi="宋体" w:eastAsia="宋体" w:cs="宋体"/>
                <w:i w:val="0"/>
                <w:iCs w:val="0"/>
                <w:color w:val="000000"/>
                <w:sz w:val="21"/>
                <w:szCs w:val="21"/>
                <w:u w:val="none"/>
              </w:rPr>
            </w:pPr>
          </w:p>
        </w:tc>
        <w:tc>
          <w:tcPr>
            <w:tcW w:w="236" w:type="pct"/>
            <w:shd w:val="clear" w:color="auto" w:fill="auto"/>
            <w:vAlign w:val="center"/>
          </w:tcPr>
          <w:p w14:paraId="7807225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小时</w:t>
            </w:r>
          </w:p>
        </w:tc>
        <w:tc>
          <w:tcPr>
            <w:tcW w:w="474" w:type="pct"/>
            <w:shd w:val="clear" w:color="auto" w:fill="auto"/>
            <w:vAlign w:val="center"/>
          </w:tcPr>
          <w:p w14:paraId="44EFB479">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按实结算</w:t>
            </w:r>
          </w:p>
        </w:tc>
        <w:tc>
          <w:tcPr>
            <w:tcW w:w="432" w:type="pct"/>
            <w:shd w:val="clear" w:color="auto" w:fill="auto"/>
            <w:vAlign w:val="center"/>
          </w:tcPr>
          <w:p w14:paraId="320BDAA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100元/小时</w:t>
            </w:r>
          </w:p>
        </w:tc>
        <w:tc>
          <w:tcPr>
            <w:tcW w:w="574" w:type="pct"/>
            <w:shd w:val="clear" w:color="auto" w:fill="auto"/>
            <w:vAlign w:val="center"/>
          </w:tcPr>
          <w:p w14:paraId="4F77CC1B">
            <w:pPr>
              <w:jc w:val="right"/>
              <w:rPr>
                <w:rFonts w:hint="eastAsia" w:ascii="宋体" w:hAnsi="宋体" w:eastAsia="宋体" w:cs="宋体"/>
                <w:i w:val="0"/>
                <w:iCs w:val="0"/>
                <w:color w:val="000000"/>
                <w:sz w:val="21"/>
                <w:szCs w:val="21"/>
                <w:u w:val="none"/>
              </w:rPr>
            </w:pPr>
          </w:p>
        </w:tc>
        <w:tc>
          <w:tcPr>
            <w:tcW w:w="575" w:type="pct"/>
            <w:shd w:val="clear" w:color="auto" w:fill="auto"/>
            <w:vAlign w:val="center"/>
          </w:tcPr>
          <w:p w14:paraId="5D4612EB">
            <w:pPr>
              <w:jc w:val="right"/>
              <w:rPr>
                <w:rFonts w:hint="eastAsia" w:ascii="宋体" w:hAnsi="宋体" w:eastAsia="宋体" w:cs="宋体"/>
                <w:i w:val="0"/>
                <w:iCs w:val="0"/>
                <w:color w:val="000000"/>
                <w:sz w:val="21"/>
                <w:szCs w:val="21"/>
                <w:u w:val="none"/>
              </w:rPr>
            </w:pPr>
          </w:p>
        </w:tc>
      </w:tr>
      <w:tr w14:paraId="7BF963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328" w:type="pct"/>
            <w:shd w:val="clear" w:color="auto" w:fill="auto"/>
            <w:vAlign w:val="center"/>
          </w:tcPr>
          <w:p w14:paraId="61924DB8">
            <w:pPr>
              <w:jc w:val="center"/>
              <w:rPr>
                <w:rFonts w:hint="eastAsia" w:ascii="宋体" w:hAnsi="宋体" w:eastAsia="宋体" w:cs="宋体"/>
                <w:i w:val="0"/>
                <w:iCs w:val="0"/>
                <w:color w:val="000000"/>
                <w:sz w:val="21"/>
                <w:szCs w:val="21"/>
                <w:u w:val="none"/>
              </w:rPr>
            </w:pPr>
          </w:p>
        </w:tc>
        <w:tc>
          <w:tcPr>
            <w:tcW w:w="2377" w:type="pct"/>
            <w:gridSpan w:val="2"/>
            <w:shd w:val="clear" w:color="auto" w:fill="auto"/>
            <w:vAlign w:val="center"/>
          </w:tcPr>
          <w:p w14:paraId="1FFA97F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合计</w:t>
            </w:r>
          </w:p>
        </w:tc>
        <w:tc>
          <w:tcPr>
            <w:tcW w:w="236" w:type="pct"/>
            <w:shd w:val="clear" w:color="auto" w:fill="auto"/>
            <w:vAlign w:val="center"/>
          </w:tcPr>
          <w:p w14:paraId="1FB6D766">
            <w:pPr>
              <w:jc w:val="center"/>
              <w:rPr>
                <w:rFonts w:hint="eastAsia" w:ascii="宋体" w:hAnsi="宋体" w:eastAsia="宋体" w:cs="宋体"/>
                <w:i w:val="0"/>
                <w:iCs w:val="0"/>
                <w:color w:val="000000"/>
                <w:sz w:val="21"/>
                <w:szCs w:val="21"/>
                <w:u w:val="none"/>
              </w:rPr>
            </w:pPr>
          </w:p>
        </w:tc>
        <w:tc>
          <w:tcPr>
            <w:tcW w:w="474" w:type="pct"/>
            <w:shd w:val="clear" w:color="auto" w:fill="auto"/>
            <w:vAlign w:val="center"/>
          </w:tcPr>
          <w:p w14:paraId="01B1689C">
            <w:pPr>
              <w:jc w:val="right"/>
              <w:rPr>
                <w:rFonts w:hint="eastAsia" w:ascii="宋体" w:hAnsi="宋体" w:eastAsia="宋体" w:cs="宋体"/>
                <w:i w:val="0"/>
                <w:iCs w:val="0"/>
                <w:color w:val="000000"/>
                <w:sz w:val="21"/>
                <w:szCs w:val="21"/>
                <w:u w:val="none"/>
              </w:rPr>
            </w:pPr>
          </w:p>
        </w:tc>
        <w:tc>
          <w:tcPr>
            <w:tcW w:w="432" w:type="pct"/>
            <w:shd w:val="clear" w:color="auto" w:fill="auto"/>
            <w:vAlign w:val="center"/>
          </w:tcPr>
          <w:p w14:paraId="3025E069">
            <w:pPr>
              <w:jc w:val="center"/>
              <w:rPr>
                <w:rFonts w:hint="eastAsia" w:ascii="宋体" w:hAnsi="宋体" w:eastAsia="宋体" w:cs="宋体"/>
                <w:i w:val="0"/>
                <w:iCs w:val="0"/>
                <w:color w:val="000000"/>
                <w:sz w:val="21"/>
                <w:szCs w:val="21"/>
                <w:u w:val="none"/>
              </w:rPr>
            </w:pPr>
          </w:p>
        </w:tc>
        <w:tc>
          <w:tcPr>
            <w:tcW w:w="574" w:type="pct"/>
            <w:shd w:val="clear" w:color="auto" w:fill="auto"/>
            <w:vAlign w:val="center"/>
          </w:tcPr>
          <w:p w14:paraId="109B8D47">
            <w:pPr>
              <w:jc w:val="right"/>
              <w:rPr>
                <w:rFonts w:hint="eastAsia" w:ascii="宋体" w:hAnsi="宋体" w:eastAsia="宋体" w:cs="宋体"/>
                <w:i w:val="0"/>
                <w:iCs w:val="0"/>
                <w:color w:val="000000"/>
                <w:sz w:val="21"/>
                <w:szCs w:val="21"/>
                <w:u w:val="none"/>
              </w:rPr>
            </w:pPr>
          </w:p>
        </w:tc>
        <w:tc>
          <w:tcPr>
            <w:tcW w:w="575" w:type="pct"/>
            <w:shd w:val="clear" w:color="auto" w:fill="auto"/>
            <w:vAlign w:val="center"/>
          </w:tcPr>
          <w:p w14:paraId="466D5EC5">
            <w:pPr>
              <w:jc w:val="right"/>
              <w:rPr>
                <w:rFonts w:hint="eastAsia" w:ascii="宋体" w:hAnsi="宋体" w:eastAsia="宋体" w:cs="宋体"/>
                <w:i w:val="0"/>
                <w:iCs w:val="0"/>
                <w:color w:val="000000"/>
                <w:sz w:val="21"/>
                <w:szCs w:val="21"/>
                <w:u w:val="none"/>
              </w:rPr>
            </w:pPr>
          </w:p>
        </w:tc>
      </w:tr>
    </w:tbl>
    <w:p w14:paraId="423C16EC">
      <w:pPr>
        <w:numPr>
          <w:ilvl w:val="0"/>
          <w:numId w:val="0"/>
        </w:numPr>
        <w:rPr>
          <w:rFonts w:hint="eastAsia"/>
          <w:lang w:val="en-US" w:eastAsia="zh-CN"/>
        </w:rPr>
      </w:pPr>
    </w:p>
    <w:p w14:paraId="721F2D4A">
      <w:pPr>
        <w:numPr>
          <w:ilvl w:val="0"/>
          <w:numId w:val="0"/>
        </w:numPr>
        <w:rPr>
          <w:rFonts w:hint="eastAsia"/>
          <w:lang w:val="en-US" w:eastAsia="zh-CN"/>
        </w:rPr>
      </w:pPr>
    </w:p>
    <w:p w14:paraId="263A11BF">
      <w:pPr>
        <w:pStyle w:val="4"/>
        <w:jc w:val="center"/>
        <w:rPr>
          <w:rFonts w:hint="eastAsia" w:ascii="Times New Roman" w:hAnsi="Times New Roman"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14:paraId="577D3DDA">
      <w:pPr>
        <w:pStyle w:val="4"/>
        <w:jc w:val="center"/>
        <w:rPr>
          <w:rFonts w:hint="eastAsia"/>
        </w:rPr>
      </w:pPr>
      <w:bookmarkStart w:id="284" w:name="_Toc247514288"/>
      <w:bookmarkStart w:id="285" w:name="_Toc144974864"/>
      <w:bookmarkStart w:id="286" w:name="_Toc152045796"/>
      <w:bookmarkStart w:id="287" w:name="_Toc152042585"/>
      <w:bookmarkStart w:id="288" w:name="_Toc300835221"/>
      <w:bookmarkStart w:id="289" w:name="_Toc247527836"/>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0BFC76BB">
      <w:pPr>
        <w:spacing w:before="53"/>
        <w:jc w:val="center"/>
        <w:rPr>
          <w:rFonts w:hint="eastAsia"/>
          <w:b/>
          <w:bCs/>
          <w:color w:val="FF0000"/>
          <w:lang w:val="en-US" w:eastAsia="zh-CN"/>
        </w:rPr>
      </w:pPr>
      <w:bookmarkStart w:id="291" w:name="_Toc247085891"/>
      <w:bookmarkStart w:id="292" w:name="_Toc246997116"/>
      <w:bookmarkStart w:id="293" w:name="_Toc246996373"/>
      <w:bookmarkStart w:id="294" w:name="_Toc179632828"/>
      <w:bookmarkStart w:id="295" w:name="_Toc296602618"/>
      <w:r>
        <w:rPr>
          <w:rFonts w:hint="eastAsia"/>
          <w:b/>
          <w:bCs/>
          <w:color w:val="FF0000"/>
          <w:lang w:val="en-US" w:eastAsia="zh-CN"/>
        </w:rPr>
        <w:t>（注：供应商根据询比公告/邀请书要求按需填写，如无要求，可不填写。）</w:t>
      </w:r>
    </w:p>
    <w:p w14:paraId="3DAB7550">
      <w:pPr>
        <w:pStyle w:val="5"/>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5"/>
        <w:jc w:val="both"/>
      </w:pPr>
      <w:bookmarkStart w:id="296" w:name="_Toc246997113"/>
      <w:bookmarkStart w:id="297" w:name="_Toc247085888"/>
      <w:bookmarkStart w:id="298" w:name="_Toc246996370"/>
      <w:bookmarkStart w:id="299" w:name="_Toc296602615"/>
      <w:bookmarkStart w:id="300" w:name="_Toc247514302"/>
      <w:bookmarkStart w:id="301" w:name="_Toc300835226"/>
      <w:bookmarkStart w:id="302" w:name="_Toc247527850"/>
      <w:bookmarkStart w:id="303" w:name="_Toc144974878"/>
      <w:bookmarkStart w:id="304" w:name="_Toc152042599"/>
      <w:bookmarkStart w:id="305" w:name="_Toc152045810"/>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5"/>
        <w:jc w:val="both"/>
        <w:rPr>
          <w:rFonts w:eastAsia="黑体"/>
          <w:sz w:val="23"/>
          <w:szCs w:val="23"/>
        </w:rPr>
      </w:pPr>
      <w:bookmarkStart w:id="306" w:name="_Toc246996371"/>
      <w:bookmarkStart w:id="307" w:name="_Toc296602616"/>
      <w:bookmarkStart w:id="308" w:name="_Toc247085889"/>
      <w:bookmarkStart w:id="309" w:name="_Toc246997114"/>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5"/>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247514303"/>
      <w:bookmarkStart w:id="311" w:name="_Toc152042600"/>
      <w:bookmarkStart w:id="312" w:name="_Toc144974879"/>
      <w:bookmarkStart w:id="313" w:name="_Toc247527851"/>
      <w:bookmarkStart w:id="314" w:name="_Toc152045811"/>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5"/>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7A16B69B">
      <w:pPr>
        <w:tabs>
          <w:tab w:val="left" w:pos="720"/>
        </w:tabs>
        <w:spacing w:line="440" w:lineRule="exact"/>
        <w:jc w:val="left"/>
        <w:rPr>
          <w:rFonts w:hint="eastAsia" w:ascii="Times New Roman" w:hAnsi="Times New Roman"/>
          <w:b/>
          <w:bCs/>
          <w:color w:val="FF0000"/>
          <w:lang w:val="en-US" w:eastAsia="zh-CN"/>
        </w:rPr>
      </w:pPr>
      <w:r>
        <w:rPr>
          <w:rFonts w:hint="eastAsia" w:ascii="Times New Roman" w:hAnsi="Times New Roman"/>
          <w:b/>
          <w:bCs/>
          <w:color w:val="FF0000"/>
          <w:lang w:val="en-US" w:eastAsia="zh-CN"/>
        </w:rPr>
        <w:t>注：1、提供供应商的营业执照及资质证书的复印件或扫描件，加盖供应商单位公章；</w:t>
      </w:r>
    </w:p>
    <w:p w14:paraId="64B8B690">
      <w:pPr>
        <w:numPr>
          <w:ilvl w:val="0"/>
          <w:numId w:val="0"/>
        </w:numPr>
        <w:tabs>
          <w:tab w:val="left" w:pos="720"/>
        </w:tabs>
        <w:spacing w:line="440" w:lineRule="exact"/>
        <w:ind w:firstLine="422" w:firstLineChars="200"/>
        <w:jc w:val="left"/>
        <w:rPr>
          <w:rFonts w:hint="default" w:ascii="Times New Roman" w:hAnsi="Times New Roman"/>
          <w:b/>
          <w:bCs/>
          <w:color w:val="FF0000"/>
          <w:lang w:val="en-US" w:eastAsia="zh-CN"/>
        </w:rPr>
      </w:pPr>
      <w:r>
        <w:rPr>
          <w:rFonts w:hint="eastAsia" w:ascii="Times New Roman" w:hAnsi="Times New Roman" w:cstheme="minorBidi"/>
          <w:b/>
          <w:bCs/>
          <w:color w:val="FF0000"/>
          <w:kern w:val="2"/>
          <w:sz w:val="21"/>
          <w:szCs w:val="24"/>
          <w:lang w:val="en-US" w:eastAsia="zh-CN" w:bidi="ar-SA"/>
        </w:rPr>
        <w:t>2</w:t>
      </w:r>
      <w:r>
        <w:rPr>
          <w:rFonts w:hint="default" w:ascii="Times New Roman" w:hAnsi="Times New Roman" w:eastAsiaTheme="minorEastAsia" w:cstheme="minorBidi"/>
          <w:b/>
          <w:bCs/>
          <w:color w:val="FF0000"/>
          <w:kern w:val="2"/>
          <w:sz w:val="21"/>
          <w:szCs w:val="24"/>
          <w:lang w:val="en-US" w:eastAsia="zh-CN" w:bidi="ar-SA"/>
        </w:rPr>
        <w:t>、</w:t>
      </w:r>
      <w:r>
        <w:rPr>
          <w:rFonts w:hint="eastAsia" w:ascii="Times New Roman" w:hAnsi="Times New Roman"/>
          <w:b/>
          <w:bCs/>
          <w:color w:val="FF0000"/>
          <w:lang w:val="en-US" w:eastAsia="zh-CN"/>
        </w:rPr>
        <w:t>提供供应商的业绩合同证明材料的复印件或扫描件，加盖供应商单位公章；</w:t>
      </w:r>
    </w:p>
    <w:p w14:paraId="4D932E03">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hint="eastAsia" w:ascii="Times New Roman" w:hAnsi="Times New Roman"/>
          <w:b/>
          <w:bCs/>
          <w:color w:val="FF0000"/>
          <w:lang w:val="en-US" w:eastAsia="zh-CN"/>
        </w:rPr>
        <w:t>3、提供供应商的信用中国查询证明的复印件或扫描件，加盖供应商单位公章</w:t>
      </w:r>
      <w:r>
        <w:rPr>
          <w:rFonts w:hint="eastAsia" w:ascii="Times New Roman" w:hAnsi="Times New Roman"/>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5"/>
        <w:numPr>
          <w:ilvl w:val="0"/>
          <w:numId w:val="0"/>
        </w:numPr>
        <w:jc w:val="center"/>
        <w:rPr>
          <w:rFonts w:hint="eastAsia" w:ascii="Times New Roman" w:hAnsi="Times New Roman" w:cs="Times New Roman"/>
          <w:lang w:val="en-US" w:eastAsia="zh-CN"/>
        </w:rPr>
      </w:pPr>
      <w:r>
        <w:rPr>
          <w:rFonts w:hint="eastAsia" w:ascii="Times New Roman" w:hAnsi="Times New Roman" w:cs="Times New Roman" w:eastAsiaTheme="minorEastAsia"/>
          <w:b/>
          <w:bCs/>
          <w:kern w:val="2"/>
          <w:sz w:val="32"/>
          <w:szCs w:val="32"/>
          <w:lang w:val="en-US" w:eastAsia="zh-CN" w:bidi="ar-SA"/>
        </w:rPr>
        <w:t>九、</w:t>
      </w:r>
      <w:r>
        <w:rPr>
          <w:rFonts w:hint="eastAsia" w:ascii="Times New Roman" w:hAnsi="Times New Roman" w:cs="Times New Roman"/>
          <w:lang w:val="en-US" w:eastAsia="zh-CN"/>
        </w:rPr>
        <w:t xml:space="preserve">响应方案 </w:t>
      </w:r>
    </w:p>
    <w:p w14:paraId="01554959">
      <w:pPr>
        <w:numPr>
          <w:ilvl w:val="0"/>
          <w:numId w:val="0"/>
        </w:numPr>
        <w:jc w:val="center"/>
        <w:rPr>
          <w:rFonts w:hint="eastAsia"/>
          <w:b/>
          <w:bCs/>
          <w:color w:val="FF0000"/>
          <w:lang w:val="en-US" w:eastAsia="zh-CN"/>
        </w:rPr>
      </w:pPr>
      <w:r>
        <w:rPr>
          <w:rFonts w:hint="eastAsia"/>
          <w:b/>
          <w:bCs/>
          <w:color w:val="FF0000"/>
          <w:lang w:val="en-US" w:eastAsia="zh-CN"/>
        </w:rPr>
        <w:t>（注：供应商根据询比公告/邀请书要求按需填写，如无要求，可不填写。）</w:t>
      </w:r>
    </w:p>
    <w:p w14:paraId="5785BCBC">
      <w:pPr>
        <w:numPr>
          <w:ilvl w:val="0"/>
          <w:numId w:val="0"/>
        </w:numPr>
        <w:jc w:val="center"/>
        <w:rPr>
          <w:rFonts w:hint="eastAsia"/>
          <w:b/>
          <w:bCs/>
          <w:color w:val="FF0000"/>
          <w:lang w:val="en-US" w:eastAsia="zh-CN"/>
        </w:rPr>
      </w:pPr>
    </w:p>
    <w:p w14:paraId="7F5D5ECF">
      <w:pPr>
        <w:numPr>
          <w:ilvl w:val="0"/>
          <w:numId w:val="0"/>
        </w:numPr>
        <w:jc w:val="center"/>
        <w:rPr>
          <w:rFonts w:hint="eastAsia"/>
          <w:b/>
          <w:bCs/>
          <w:color w:val="FF0000"/>
          <w:lang w:val="en-US" w:eastAsia="zh-CN"/>
        </w:rPr>
      </w:pPr>
    </w:p>
    <w:p w14:paraId="60596151">
      <w:pPr>
        <w:numPr>
          <w:ilvl w:val="0"/>
          <w:numId w:val="0"/>
        </w:numPr>
        <w:jc w:val="center"/>
        <w:rPr>
          <w:rFonts w:hint="eastAsia"/>
          <w:b/>
          <w:bCs/>
          <w:color w:val="FF0000"/>
          <w:lang w:val="en-US" w:eastAsia="zh-CN"/>
        </w:rPr>
      </w:pPr>
    </w:p>
    <w:p w14:paraId="257D536F">
      <w:pPr>
        <w:numPr>
          <w:ilvl w:val="0"/>
          <w:numId w:val="0"/>
        </w:numPr>
        <w:jc w:val="center"/>
        <w:rPr>
          <w:rFonts w:hint="eastAsia"/>
          <w:b/>
          <w:bCs/>
          <w:color w:val="FF0000"/>
          <w:lang w:val="en-US" w:eastAsia="zh-CN"/>
        </w:rPr>
      </w:pPr>
    </w:p>
    <w:p w14:paraId="6FB7C7D4">
      <w:pPr>
        <w:numPr>
          <w:ilvl w:val="0"/>
          <w:numId w:val="0"/>
        </w:numPr>
        <w:jc w:val="center"/>
        <w:rPr>
          <w:rFonts w:hint="eastAsia"/>
          <w:b/>
          <w:bCs/>
          <w:color w:val="FF0000"/>
          <w:lang w:val="en-US" w:eastAsia="zh-CN"/>
        </w:rPr>
      </w:pPr>
    </w:p>
    <w:p w14:paraId="7F7BDA23">
      <w:pPr>
        <w:numPr>
          <w:ilvl w:val="0"/>
          <w:numId w:val="0"/>
        </w:numPr>
        <w:jc w:val="center"/>
        <w:rPr>
          <w:rFonts w:hint="eastAsia"/>
          <w:b/>
          <w:bCs/>
          <w:color w:val="FF0000"/>
          <w:lang w:val="en-US" w:eastAsia="zh-CN"/>
        </w:rPr>
      </w:pPr>
    </w:p>
    <w:p w14:paraId="7872085A">
      <w:pPr>
        <w:numPr>
          <w:ilvl w:val="0"/>
          <w:numId w:val="0"/>
        </w:numPr>
        <w:jc w:val="center"/>
        <w:rPr>
          <w:rFonts w:hint="eastAsia"/>
          <w:b/>
          <w:bCs/>
          <w:color w:val="FF0000"/>
          <w:lang w:val="en-US" w:eastAsia="zh-CN"/>
        </w:rPr>
      </w:pPr>
    </w:p>
    <w:p w14:paraId="48960A8C">
      <w:pPr>
        <w:numPr>
          <w:ilvl w:val="0"/>
          <w:numId w:val="0"/>
        </w:numPr>
        <w:jc w:val="center"/>
        <w:rPr>
          <w:rFonts w:hint="eastAsia"/>
          <w:b/>
          <w:bCs/>
          <w:color w:val="FF0000"/>
          <w:lang w:val="en-US" w:eastAsia="zh-CN"/>
        </w:rPr>
      </w:pPr>
    </w:p>
    <w:p w14:paraId="6F1D301E">
      <w:pPr>
        <w:numPr>
          <w:ilvl w:val="0"/>
          <w:numId w:val="0"/>
        </w:numPr>
        <w:jc w:val="center"/>
        <w:rPr>
          <w:rFonts w:hint="eastAsia"/>
          <w:b/>
          <w:bCs/>
          <w:color w:val="FF0000"/>
          <w:lang w:val="en-US" w:eastAsia="zh-CN"/>
        </w:rPr>
      </w:pPr>
    </w:p>
    <w:p w14:paraId="7C51D111">
      <w:pPr>
        <w:numPr>
          <w:ilvl w:val="0"/>
          <w:numId w:val="0"/>
        </w:numPr>
        <w:jc w:val="center"/>
        <w:rPr>
          <w:rFonts w:hint="eastAsia"/>
          <w:b/>
          <w:bCs/>
          <w:color w:val="FF0000"/>
          <w:lang w:val="en-US" w:eastAsia="zh-CN"/>
        </w:rPr>
      </w:pPr>
    </w:p>
    <w:p w14:paraId="3482A78A">
      <w:pPr>
        <w:numPr>
          <w:ilvl w:val="0"/>
          <w:numId w:val="0"/>
        </w:numPr>
        <w:jc w:val="center"/>
        <w:rPr>
          <w:rFonts w:hint="eastAsia"/>
          <w:b/>
          <w:bCs/>
          <w:color w:val="FF0000"/>
          <w:lang w:val="en-US" w:eastAsia="zh-CN"/>
        </w:rPr>
      </w:pPr>
    </w:p>
    <w:p w14:paraId="5CBFC633">
      <w:pPr>
        <w:numPr>
          <w:ilvl w:val="0"/>
          <w:numId w:val="0"/>
        </w:numPr>
        <w:jc w:val="center"/>
        <w:rPr>
          <w:rFonts w:hint="eastAsia"/>
          <w:b/>
          <w:bCs/>
          <w:color w:val="FF0000"/>
          <w:lang w:val="en-US" w:eastAsia="zh-CN"/>
        </w:rPr>
      </w:pPr>
    </w:p>
    <w:p w14:paraId="00C4A037">
      <w:pPr>
        <w:numPr>
          <w:ilvl w:val="0"/>
          <w:numId w:val="0"/>
        </w:numPr>
        <w:jc w:val="center"/>
        <w:rPr>
          <w:rFonts w:hint="eastAsia"/>
          <w:b/>
          <w:bCs/>
          <w:color w:val="FF0000"/>
          <w:lang w:val="en-US" w:eastAsia="zh-CN"/>
        </w:rPr>
      </w:pPr>
    </w:p>
    <w:p w14:paraId="1E5B7EEB">
      <w:pPr>
        <w:pStyle w:val="5"/>
        <w:numPr>
          <w:ilvl w:val="0"/>
          <w:numId w:val="0"/>
        </w:numPr>
        <w:jc w:val="center"/>
        <w:rPr>
          <w:rFonts w:hint="default" w:ascii="Times New Roman" w:hAnsi="Times New Roman" w:cs="Times New Roman"/>
          <w:lang w:val="en-US" w:eastAsia="zh-CN"/>
        </w:rPr>
      </w:pPr>
      <w:bookmarkStart w:id="315" w:name="_Toc300835233"/>
      <w:bookmarkStart w:id="316" w:name="_Toc271821942"/>
      <w:r>
        <w:rPr>
          <w:rFonts w:hint="eastAsia" w:ascii="Times New Roman" w:hAnsi="Times New Roman" w:cs="Times New Roman"/>
          <w:lang w:val="en-US" w:eastAsia="zh-CN"/>
        </w:rPr>
        <w:t>十</w:t>
      </w:r>
      <w:r>
        <w:rPr>
          <w:rFonts w:hint="default" w:ascii="Times New Roman" w:hAnsi="Times New Roman" w:cs="Times New Roman"/>
          <w:lang w:val="en-US" w:eastAsia="zh-CN"/>
        </w:rPr>
        <w:t>、其他资料</w:t>
      </w:r>
      <w:bookmarkEnd w:id="315"/>
      <w:bookmarkEnd w:id="316"/>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9C29785E-55C7-4419-BA4E-2CDCFA008A0B}"/>
  </w:font>
  <w:font w:name="Arial">
    <w:panose1 w:val="020B0604020202020204"/>
    <w:charset w:val="01"/>
    <w:family w:val="swiss"/>
    <w:pitch w:val="default"/>
    <w:sig w:usb0="E0002EFF" w:usb1="C000785B" w:usb2="00000009" w:usb3="00000000" w:csb0="400001FF" w:csb1="FFFF0000"/>
    <w:embedRegular r:id="rId2" w:fontKey="{EE0894BE-30D1-4DDC-9BA0-AD26679149B7}"/>
  </w:font>
  <w:font w:name="黑体">
    <w:panose1 w:val="02010609060101010101"/>
    <w:charset w:val="86"/>
    <w:family w:val="auto"/>
    <w:pitch w:val="default"/>
    <w:sig w:usb0="800002BF" w:usb1="38CF7CFA" w:usb2="00000016" w:usb3="00000000" w:csb0="00040001" w:csb1="00000000"/>
    <w:embedRegular r:id="rId3" w:fontKey="{F246FD59-C024-465D-B4E8-8E7715D23AD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3066943E-5A81-42C4-B1C8-D2BB52AE85D4}"/>
  </w:font>
  <w:font w:name="仿宋_GB2312">
    <w:panose1 w:val="02010609030101010101"/>
    <w:charset w:val="86"/>
    <w:family w:val="modern"/>
    <w:pitch w:val="default"/>
    <w:sig w:usb0="00000001" w:usb1="080E0000" w:usb2="00000000" w:usb3="00000000" w:csb0="00040000" w:csb1="00000000"/>
    <w:embedRegular r:id="rId5" w:fontKey="{4D70DEAD-7A83-4237-897F-318EB6C04949}"/>
  </w:font>
  <w:font w:name="方正小标宋简体">
    <w:panose1 w:val="03000509000000000000"/>
    <w:charset w:val="86"/>
    <w:family w:val="auto"/>
    <w:pitch w:val="default"/>
    <w:sig w:usb0="00000001" w:usb1="080E0000" w:usb2="00000000" w:usb3="00000000" w:csb0="00040000" w:csb1="00000000"/>
    <w:embedRegular r:id="rId6" w:fontKey="{964B2EA7-1D5D-44E3-9C4F-D9A46E1BD1C9}"/>
  </w:font>
  <w:font w:name="楷体">
    <w:panose1 w:val="02010609060101010101"/>
    <w:charset w:val="86"/>
    <w:family w:val="auto"/>
    <w:pitch w:val="default"/>
    <w:sig w:usb0="800002BF" w:usb1="38CF7CFA" w:usb2="00000016" w:usb3="00000000" w:csb0="00040001" w:csb1="00000000"/>
    <w:embedRegular r:id="rId7" w:fontKey="{A831E571-06E8-4ECF-83AB-A7234692FE78}"/>
  </w:font>
  <w:font w:name="Wingdings 2">
    <w:panose1 w:val="05020102010507070707"/>
    <w:charset w:val="00"/>
    <w:family w:val="auto"/>
    <w:pitch w:val="default"/>
    <w:sig w:usb0="00000000" w:usb1="00000000" w:usb2="00000000" w:usb3="00000000" w:csb0="80000000" w:csb1="00000000"/>
    <w:embedRegular r:id="rId8" w:fontKey="{9D549050-4E52-4779-BA6B-2BE4CA9613D3}"/>
  </w:font>
  <w:font w:name="方正仿宋_GB2312">
    <w:panose1 w:val="02000000000000000000"/>
    <w:charset w:val="86"/>
    <w:family w:val="auto"/>
    <w:pitch w:val="default"/>
    <w:sig w:usb0="A00002BF" w:usb1="184F6CFA" w:usb2="00000012" w:usb3="00000000" w:csb0="00040001" w:csb1="00000000"/>
    <w:embedRegular r:id="rId9" w:fontKey="{0ABD1059-1314-4DD9-A558-5FB7BEFDD886}"/>
  </w:font>
  <w:font w:name="仿宋">
    <w:panose1 w:val="02010609060101010101"/>
    <w:charset w:val="86"/>
    <w:family w:val="modern"/>
    <w:pitch w:val="default"/>
    <w:sig w:usb0="800002BF" w:usb1="38CF7CFA" w:usb2="00000016" w:usb3="00000000" w:csb0="00040001" w:csb1="00000000"/>
    <w:embedRegular r:id="rId10" w:fontKey="{1E58C141-0C96-4E62-B522-40D13A5A1B44}"/>
  </w:font>
  <w:font w:name="WPSEMBED2">
    <w:panose1 w:val="03000509000000000000"/>
    <w:charset w:val="86"/>
    <w:family w:val="auto"/>
    <w:pitch w:val="default"/>
    <w:sig w:usb0="00000001" w:usb1="080E0000" w:usb2="00000000" w:usb3="00000000" w:csb0="00040000" w:csb1="00000000"/>
  </w:font>
  <w:font w:name="WPSEMBED1">
    <w:panose1 w:val="02010609030101010101"/>
    <w:charset w:val="86"/>
    <w:family w:val="auto"/>
    <w:pitch w:val="default"/>
    <w:sig w:usb0="00000001" w:usb1="080E0000" w:usb2="00000000" w:usb3="00000000" w:csb0="00040000" w:csb1="00000000"/>
  </w:font>
  <w:font w:name="WPSEMBED3">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586284"/>
    <w:multiLevelType w:val="singleLevel"/>
    <w:tmpl w:val="5F586284"/>
    <w:lvl w:ilvl="0" w:tentative="0">
      <w:start w:val="5"/>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15EA1"/>
    <w:rsid w:val="006C14A9"/>
    <w:rsid w:val="00733B0B"/>
    <w:rsid w:val="00764376"/>
    <w:rsid w:val="00796B76"/>
    <w:rsid w:val="00813A17"/>
    <w:rsid w:val="00850CC0"/>
    <w:rsid w:val="00877F19"/>
    <w:rsid w:val="009F4408"/>
    <w:rsid w:val="00AF450E"/>
    <w:rsid w:val="00B00F2F"/>
    <w:rsid w:val="00B71F65"/>
    <w:rsid w:val="00E24826"/>
    <w:rsid w:val="00F9432B"/>
    <w:rsid w:val="00FF308E"/>
    <w:rsid w:val="010E1D00"/>
    <w:rsid w:val="01115B19"/>
    <w:rsid w:val="01180B1A"/>
    <w:rsid w:val="011959AD"/>
    <w:rsid w:val="011E6004"/>
    <w:rsid w:val="01311D17"/>
    <w:rsid w:val="01423F24"/>
    <w:rsid w:val="0145105E"/>
    <w:rsid w:val="018C519F"/>
    <w:rsid w:val="019846E3"/>
    <w:rsid w:val="01AA1AC9"/>
    <w:rsid w:val="01B6046E"/>
    <w:rsid w:val="01B666C0"/>
    <w:rsid w:val="01CB0CDF"/>
    <w:rsid w:val="01CD2334"/>
    <w:rsid w:val="01E140D3"/>
    <w:rsid w:val="01EE4D0C"/>
    <w:rsid w:val="01F16263"/>
    <w:rsid w:val="02016132"/>
    <w:rsid w:val="0212370C"/>
    <w:rsid w:val="021D348F"/>
    <w:rsid w:val="022A6766"/>
    <w:rsid w:val="026E5FAB"/>
    <w:rsid w:val="02892727"/>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04493"/>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7A17E6"/>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7608B0"/>
    <w:rsid w:val="068648B3"/>
    <w:rsid w:val="06866D3C"/>
    <w:rsid w:val="068D43A1"/>
    <w:rsid w:val="06972E4E"/>
    <w:rsid w:val="069A3E9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43000"/>
    <w:rsid w:val="07972327"/>
    <w:rsid w:val="07A85930"/>
    <w:rsid w:val="07B0770E"/>
    <w:rsid w:val="07B408D7"/>
    <w:rsid w:val="07D63653"/>
    <w:rsid w:val="07EE56D8"/>
    <w:rsid w:val="07F65A68"/>
    <w:rsid w:val="081608A9"/>
    <w:rsid w:val="08294E5C"/>
    <w:rsid w:val="082D0DDC"/>
    <w:rsid w:val="08346591"/>
    <w:rsid w:val="083726B7"/>
    <w:rsid w:val="083B791F"/>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13E16"/>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1336AF"/>
    <w:rsid w:val="0D1D3973"/>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DE95727"/>
    <w:rsid w:val="0E053AB5"/>
    <w:rsid w:val="0E093A81"/>
    <w:rsid w:val="0E1201C4"/>
    <w:rsid w:val="0E2844A2"/>
    <w:rsid w:val="0E323572"/>
    <w:rsid w:val="0E35096D"/>
    <w:rsid w:val="0E3C08A3"/>
    <w:rsid w:val="0E4868F2"/>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404B7"/>
    <w:rsid w:val="1069417C"/>
    <w:rsid w:val="106C1E4B"/>
    <w:rsid w:val="10772B1E"/>
    <w:rsid w:val="108A23D3"/>
    <w:rsid w:val="108A24B6"/>
    <w:rsid w:val="108D506C"/>
    <w:rsid w:val="1095135B"/>
    <w:rsid w:val="10CD621A"/>
    <w:rsid w:val="10D35E97"/>
    <w:rsid w:val="110805BA"/>
    <w:rsid w:val="11114551"/>
    <w:rsid w:val="1122167C"/>
    <w:rsid w:val="112269D1"/>
    <w:rsid w:val="112C42A9"/>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755C8"/>
    <w:rsid w:val="124D3BAD"/>
    <w:rsid w:val="1250061C"/>
    <w:rsid w:val="12545C35"/>
    <w:rsid w:val="125A52C4"/>
    <w:rsid w:val="12655D96"/>
    <w:rsid w:val="127557DC"/>
    <w:rsid w:val="127A564B"/>
    <w:rsid w:val="128E3C38"/>
    <w:rsid w:val="129B676B"/>
    <w:rsid w:val="12B56269"/>
    <w:rsid w:val="12BF2922"/>
    <w:rsid w:val="12C942C8"/>
    <w:rsid w:val="12D06EB6"/>
    <w:rsid w:val="12DC5F5E"/>
    <w:rsid w:val="12DC7F8C"/>
    <w:rsid w:val="12E82A0B"/>
    <w:rsid w:val="12E84200"/>
    <w:rsid w:val="131873D2"/>
    <w:rsid w:val="131D498C"/>
    <w:rsid w:val="13274F9C"/>
    <w:rsid w:val="133B4C77"/>
    <w:rsid w:val="133E22ED"/>
    <w:rsid w:val="13417410"/>
    <w:rsid w:val="134A448A"/>
    <w:rsid w:val="134F427F"/>
    <w:rsid w:val="134F7EA7"/>
    <w:rsid w:val="135107A8"/>
    <w:rsid w:val="136066CF"/>
    <w:rsid w:val="13657E31"/>
    <w:rsid w:val="136C3340"/>
    <w:rsid w:val="137E368F"/>
    <w:rsid w:val="1387094F"/>
    <w:rsid w:val="138D7D05"/>
    <w:rsid w:val="13900507"/>
    <w:rsid w:val="139C08EB"/>
    <w:rsid w:val="13D35238"/>
    <w:rsid w:val="13D81B1F"/>
    <w:rsid w:val="14061B66"/>
    <w:rsid w:val="14143273"/>
    <w:rsid w:val="14165942"/>
    <w:rsid w:val="142B5FE2"/>
    <w:rsid w:val="14327E28"/>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4FA3315"/>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740758"/>
    <w:rsid w:val="17824660"/>
    <w:rsid w:val="178F2FF8"/>
    <w:rsid w:val="179121FE"/>
    <w:rsid w:val="17915931"/>
    <w:rsid w:val="17C41ABF"/>
    <w:rsid w:val="17C4465B"/>
    <w:rsid w:val="17E02C2C"/>
    <w:rsid w:val="17E92EF4"/>
    <w:rsid w:val="17EE7D48"/>
    <w:rsid w:val="18057602"/>
    <w:rsid w:val="18175D56"/>
    <w:rsid w:val="18197F61"/>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1D93"/>
    <w:rsid w:val="19034C2D"/>
    <w:rsid w:val="190771EA"/>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4433A"/>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06AD2"/>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74376"/>
    <w:rsid w:val="201E585F"/>
    <w:rsid w:val="2049266D"/>
    <w:rsid w:val="204F1D62"/>
    <w:rsid w:val="20534B67"/>
    <w:rsid w:val="20557DC5"/>
    <w:rsid w:val="205A5C16"/>
    <w:rsid w:val="205B7D6A"/>
    <w:rsid w:val="2061066F"/>
    <w:rsid w:val="207C33EE"/>
    <w:rsid w:val="207E5B72"/>
    <w:rsid w:val="207E6748"/>
    <w:rsid w:val="20804155"/>
    <w:rsid w:val="2081342E"/>
    <w:rsid w:val="20916A79"/>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202F4"/>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41056"/>
    <w:rsid w:val="28DA521F"/>
    <w:rsid w:val="28FA546B"/>
    <w:rsid w:val="28FE025E"/>
    <w:rsid w:val="290165BA"/>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1B62D1"/>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24937"/>
    <w:rsid w:val="2CD47877"/>
    <w:rsid w:val="2CD755B9"/>
    <w:rsid w:val="2CED26E7"/>
    <w:rsid w:val="2CF070E3"/>
    <w:rsid w:val="2CFE607B"/>
    <w:rsid w:val="2D095409"/>
    <w:rsid w:val="2D0F6B01"/>
    <w:rsid w:val="2D1C4D7A"/>
    <w:rsid w:val="2D1E755B"/>
    <w:rsid w:val="2D3A3199"/>
    <w:rsid w:val="2D483B07"/>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B6172"/>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5616B"/>
    <w:rsid w:val="33CF2056"/>
    <w:rsid w:val="33D4661F"/>
    <w:rsid w:val="33ED39C2"/>
    <w:rsid w:val="3402309A"/>
    <w:rsid w:val="340F56DE"/>
    <w:rsid w:val="342235BE"/>
    <w:rsid w:val="3425597D"/>
    <w:rsid w:val="342804A8"/>
    <w:rsid w:val="342A5DF5"/>
    <w:rsid w:val="34331D5F"/>
    <w:rsid w:val="343819DA"/>
    <w:rsid w:val="344851FD"/>
    <w:rsid w:val="346A0AC1"/>
    <w:rsid w:val="34872E2A"/>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46B3A"/>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2710B"/>
    <w:rsid w:val="36B34449"/>
    <w:rsid w:val="36C20165"/>
    <w:rsid w:val="36C342D9"/>
    <w:rsid w:val="36E560FC"/>
    <w:rsid w:val="370074BA"/>
    <w:rsid w:val="37052D23"/>
    <w:rsid w:val="370F2E93"/>
    <w:rsid w:val="370F32ED"/>
    <w:rsid w:val="372D30A2"/>
    <w:rsid w:val="372F1B4E"/>
    <w:rsid w:val="374A5928"/>
    <w:rsid w:val="374E35E0"/>
    <w:rsid w:val="37560CC6"/>
    <w:rsid w:val="37731F43"/>
    <w:rsid w:val="377C2FE5"/>
    <w:rsid w:val="378C0D4E"/>
    <w:rsid w:val="378D0CEB"/>
    <w:rsid w:val="378D4552"/>
    <w:rsid w:val="37940B89"/>
    <w:rsid w:val="379A026D"/>
    <w:rsid w:val="37A2207E"/>
    <w:rsid w:val="37A2434F"/>
    <w:rsid w:val="37B160EC"/>
    <w:rsid w:val="37C302B3"/>
    <w:rsid w:val="37DC1CD5"/>
    <w:rsid w:val="37ED6D6E"/>
    <w:rsid w:val="37FB65FF"/>
    <w:rsid w:val="380C3B20"/>
    <w:rsid w:val="381039F4"/>
    <w:rsid w:val="381B27FE"/>
    <w:rsid w:val="381D0E63"/>
    <w:rsid w:val="38206066"/>
    <w:rsid w:val="382065A7"/>
    <w:rsid w:val="38422CE2"/>
    <w:rsid w:val="38464281"/>
    <w:rsid w:val="386B4E07"/>
    <w:rsid w:val="386C7B1E"/>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42258"/>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8F1281"/>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794BCF"/>
    <w:rsid w:val="3B8004C1"/>
    <w:rsid w:val="3B81506E"/>
    <w:rsid w:val="3B8561E0"/>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542ED"/>
    <w:rsid w:val="3C4A12AD"/>
    <w:rsid w:val="3C5125FC"/>
    <w:rsid w:val="3C690ECB"/>
    <w:rsid w:val="3C720E5A"/>
    <w:rsid w:val="3C7921E9"/>
    <w:rsid w:val="3C7F70D3"/>
    <w:rsid w:val="3C850B8E"/>
    <w:rsid w:val="3C860AC6"/>
    <w:rsid w:val="3C8967A4"/>
    <w:rsid w:val="3C960BC8"/>
    <w:rsid w:val="3C9848A1"/>
    <w:rsid w:val="3C991F43"/>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7A2AEB"/>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9F42C5"/>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670862"/>
    <w:rsid w:val="41761D35"/>
    <w:rsid w:val="417843F2"/>
    <w:rsid w:val="41807B75"/>
    <w:rsid w:val="41864563"/>
    <w:rsid w:val="418A1799"/>
    <w:rsid w:val="41A61C3F"/>
    <w:rsid w:val="41B17185"/>
    <w:rsid w:val="41C40721"/>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CF50C2"/>
    <w:rsid w:val="44DC0CFE"/>
    <w:rsid w:val="44DC4FCA"/>
    <w:rsid w:val="44FC7513"/>
    <w:rsid w:val="44FD1C6D"/>
    <w:rsid w:val="451E392D"/>
    <w:rsid w:val="45245377"/>
    <w:rsid w:val="453F207E"/>
    <w:rsid w:val="454276A8"/>
    <w:rsid w:val="454513E5"/>
    <w:rsid w:val="45465AD9"/>
    <w:rsid w:val="45552589"/>
    <w:rsid w:val="457C4AF8"/>
    <w:rsid w:val="458759CA"/>
    <w:rsid w:val="45A100BA"/>
    <w:rsid w:val="45A1630C"/>
    <w:rsid w:val="45A31600"/>
    <w:rsid w:val="45A51959"/>
    <w:rsid w:val="45C344D5"/>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6076C"/>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9D12BA"/>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9326C8"/>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752228"/>
    <w:rsid w:val="4B810772"/>
    <w:rsid w:val="4B8464B4"/>
    <w:rsid w:val="4B895879"/>
    <w:rsid w:val="4B8E3DC5"/>
    <w:rsid w:val="4BB21AF4"/>
    <w:rsid w:val="4BB54107"/>
    <w:rsid w:val="4BB67EEE"/>
    <w:rsid w:val="4BD17814"/>
    <w:rsid w:val="4BDC5109"/>
    <w:rsid w:val="4BE84FA7"/>
    <w:rsid w:val="4BF70C92"/>
    <w:rsid w:val="4BFB5105"/>
    <w:rsid w:val="4BFD0513"/>
    <w:rsid w:val="4C005E77"/>
    <w:rsid w:val="4C0D2006"/>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587BF8"/>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DA0BDC"/>
    <w:rsid w:val="51EB5979"/>
    <w:rsid w:val="5219226D"/>
    <w:rsid w:val="521A0101"/>
    <w:rsid w:val="52241967"/>
    <w:rsid w:val="52263E21"/>
    <w:rsid w:val="52267BB8"/>
    <w:rsid w:val="522851B7"/>
    <w:rsid w:val="522D1CB6"/>
    <w:rsid w:val="523302EC"/>
    <w:rsid w:val="52410C5B"/>
    <w:rsid w:val="52444C58"/>
    <w:rsid w:val="52481FEA"/>
    <w:rsid w:val="524E0600"/>
    <w:rsid w:val="525070F0"/>
    <w:rsid w:val="52595FA5"/>
    <w:rsid w:val="5263075C"/>
    <w:rsid w:val="52660A26"/>
    <w:rsid w:val="52691F60"/>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AD6E2A"/>
    <w:rsid w:val="54C41B11"/>
    <w:rsid w:val="54C92123"/>
    <w:rsid w:val="54D45DB6"/>
    <w:rsid w:val="55094F55"/>
    <w:rsid w:val="550E49C6"/>
    <w:rsid w:val="55124B31"/>
    <w:rsid w:val="55160C9A"/>
    <w:rsid w:val="55264138"/>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46656"/>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71254"/>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916B23"/>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B71BD"/>
    <w:rsid w:val="5E6E3C24"/>
    <w:rsid w:val="5E7255BD"/>
    <w:rsid w:val="5E8819C0"/>
    <w:rsid w:val="5E891521"/>
    <w:rsid w:val="5E937CCC"/>
    <w:rsid w:val="5E9C6226"/>
    <w:rsid w:val="5EB831D6"/>
    <w:rsid w:val="5EBA601D"/>
    <w:rsid w:val="5EF83794"/>
    <w:rsid w:val="5F0173CC"/>
    <w:rsid w:val="5F096D42"/>
    <w:rsid w:val="5F1A1A93"/>
    <w:rsid w:val="5F1D3030"/>
    <w:rsid w:val="5F287F7E"/>
    <w:rsid w:val="5F374C3D"/>
    <w:rsid w:val="5F3833E6"/>
    <w:rsid w:val="5F4315DF"/>
    <w:rsid w:val="5F475677"/>
    <w:rsid w:val="5F484198"/>
    <w:rsid w:val="5F567498"/>
    <w:rsid w:val="5F6E0BB6"/>
    <w:rsid w:val="5F6F1B70"/>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4E20EA"/>
    <w:rsid w:val="606A75CF"/>
    <w:rsid w:val="60793AF7"/>
    <w:rsid w:val="6099592B"/>
    <w:rsid w:val="60A13AB9"/>
    <w:rsid w:val="60A7744C"/>
    <w:rsid w:val="60CF04AB"/>
    <w:rsid w:val="60D46471"/>
    <w:rsid w:val="60DB5486"/>
    <w:rsid w:val="60E82C1A"/>
    <w:rsid w:val="60EB5711"/>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741B1"/>
    <w:rsid w:val="618A70BC"/>
    <w:rsid w:val="618D5E50"/>
    <w:rsid w:val="61963F6D"/>
    <w:rsid w:val="619D39D4"/>
    <w:rsid w:val="61B03707"/>
    <w:rsid w:val="61B5679F"/>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4E653B"/>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718E2"/>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35469"/>
    <w:rsid w:val="64591E34"/>
    <w:rsid w:val="647527CB"/>
    <w:rsid w:val="647C3D75"/>
    <w:rsid w:val="648A0F84"/>
    <w:rsid w:val="648E4974"/>
    <w:rsid w:val="648F4377"/>
    <w:rsid w:val="64994927"/>
    <w:rsid w:val="649E65A7"/>
    <w:rsid w:val="64A532CB"/>
    <w:rsid w:val="64B47494"/>
    <w:rsid w:val="64B70C4D"/>
    <w:rsid w:val="64CF0348"/>
    <w:rsid w:val="64D14920"/>
    <w:rsid w:val="64DC3A26"/>
    <w:rsid w:val="64E114C3"/>
    <w:rsid w:val="64E23632"/>
    <w:rsid w:val="64EA382F"/>
    <w:rsid w:val="64ED3306"/>
    <w:rsid w:val="64F70454"/>
    <w:rsid w:val="64F848BF"/>
    <w:rsid w:val="65112EA3"/>
    <w:rsid w:val="6511603A"/>
    <w:rsid w:val="652763A9"/>
    <w:rsid w:val="65293EFC"/>
    <w:rsid w:val="653B0F51"/>
    <w:rsid w:val="65434194"/>
    <w:rsid w:val="65477730"/>
    <w:rsid w:val="654912E0"/>
    <w:rsid w:val="654A79CF"/>
    <w:rsid w:val="654F2C5C"/>
    <w:rsid w:val="655A5E64"/>
    <w:rsid w:val="656A4332"/>
    <w:rsid w:val="65733372"/>
    <w:rsid w:val="65744876"/>
    <w:rsid w:val="65772C72"/>
    <w:rsid w:val="657845AE"/>
    <w:rsid w:val="6579224B"/>
    <w:rsid w:val="657C58B7"/>
    <w:rsid w:val="65991D3E"/>
    <w:rsid w:val="659E280B"/>
    <w:rsid w:val="65B74A52"/>
    <w:rsid w:val="65BD55BD"/>
    <w:rsid w:val="65C53449"/>
    <w:rsid w:val="65C77271"/>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2787F"/>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687B02"/>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33F06"/>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434E61"/>
    <w:rsid w:val="697E7396"/>
    <w:rsid w:val="69A009FE"/>
    <w:rsid w:val="69A729C5"/>
    <w:rsid w:val="69B47B0D"/>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BE0C43"/>
    <w:rsid w:val="6AC04F0B"/>
    <w:rsid w:val="6AD00976"/>
    <w:rsid w:val="6AD34458"/>
    <w:rsid w:val="6AD77F57"/>
    <w:rsid w:val="6ADC4801"/>
    <w:rsid w:val="6ADF25FC"/>
    <w:rsid w:val="6AEF704E"/>
    <w:rsid w:val="6AF01018"/>
    <w:rsid w:val="6AF97ECD"/>
    <w:rsid w:val="6B020CD0"/>
    <w:rsid w:val="6B1148AC"/>
    <w:rsid w:val="6B1E16E2"/>
    <w:rsid w:val="6B27444D"/>
    <w:rsid w:val="6B3929BF"/>
    <w:rsid w:val="6B3E0351"/>
    <w:rsid w:val="6B42449D"/>
    <w:rsid w:val="6B4A5562"/>
    <w:rsid w:val="6B4C26F3"/>
    <w:rsid w:val="6B4D1FC7"/>
    <w:rsid w:val="6B565807"/>
    <w:rsid w:val="6B5925FD"/>
    <w:rsid w:val="6B5B2936"/>
    <w:rsid w:val="6B6537B4"/>
    <w:rsid w:val="6B685053"/>
    <w:rsid w:val="6B7174EC"/>
    <w:rsid w:val="6B7A369F"/>
    <w:rsid w:val="6B7F7893"/>
    <w:rsid w:val="6BA33A98"/>
    <w:rsid w:val="6BAC2823"/>
    <w:rsid w:val="6BBD5024"/>
    <w:rsid w:val="6BC53A45"/>
    <w:rsid w:val="6BF37DF1"/>
    <w:rsid w:val="6BF863D7"/>
    <w:rsid w:val="6C2076DB"/>
    <w:rsid w:val="6C272818"/>
    <w:rsid w:val="6C343972"/>
    <w:rsid w:val="6C5555D7"/>
    <w:rsid w:val="6C630CE9"/>
    <w:rsid w:val="6C727F37"/>
    <w:rsid w:val="6C914CAA"/>
    <w:rsid w:val="6C990D71"/>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463172"/>
    <w:rsid w:val="6D6103FD"/>
    <w:rsid w:val="6D632F47"/>
    <w:rsid w:val="6D6A2DB3"/>
    <w:rsid w:val="6D6A69AA"/>
    <w:rsid w:val="6D79127B"/>
    <w:rsid w:val="6D797894"/>
    <w:rsid w:val="6D832281"/>
    <w:rsid w:val="6D87693B"/>
    <w:rsid w:val="6D97577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DB4045"/>
    <w:rsid w:val="6FE23626"/>
    <w:rsid w:val="6FEB7EFB"/>
    <w:rsid w:val="700148B1"/>
    <w:rsid w:val="700708F2"/>
    <w:rsid w:val="70262445"/>
    <w:rsid w:val="70423A4D"/>
    <w:rsid w:val="70473489"/>
    <w:rsid w:val="7054057E"/>
    <w:rsid w:val="7072258D"/>
    <w:rsid w:val="70796EB7"/>
    <w:rsid w:val="70846EFD"/>
    <w:rsid w:val="70891E2B"/>
    <w:rsid w:val="709304FC"/>
    <w:rsid w:val="70AE27E3"/>
    <w:rsid w:val="70B21D55"/>
    <w:rsid w:val="70BA4068"/>
    <w:rsid w:val="70CA020D"/>
    <w:rsid w:val="70CA396B"/>
    <w:rsid w:val="70CB5E68"/>
    <w:rsid w:val="70F06D61"/>
    <w:rsid w:val="70F36F46"/>
    <w:rsid w:val="70F52EE5"/>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1E4648"/>
    <w:rsid w:val="72280301"/>
    <w:rsid w:val="7231753D"/>
    <w:rsid w:val="72386C6E"/>
    <w:rsid w:val="723A3057"/>
    <w:rsid w:val="72400885"/>
    <w:rsid w:val="724B6026"/>
    <w:rsid w:val="725273EA"/>
    <w:rsid w:val="725B1897"/>
    <w:rsid w:val="725B76BF"/>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71C35"/>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4688B"/>
    <w:rsid w:val="756819EF"/>
    <w:rsid w:val="75A16A9F"/>
    <w:rsid w:val="75A35605"/>
    <w:rsid w:val="75BC6CCF"/>
    <w:rsid w:val="75C630A2"/>
    <w:rsid w:val="75E27D49"/>
    <w:rsid w:val="760E140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B2FCA"/>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8E7D74"/>
    <w:rsid w:val="7CA33449"/>
    <w:rsid w:val="7CB93F8B"/>
    <w:rsid w:val="7CBF7B20"/>
    <w:rsid w:val="7CC876FF"/>
    <w:rsid w:val="7CCE4D69"/>
    <w:rsid w:val="7CF95B0B"/>
    <w:rsid w:val="7D050953"/>
    <w:rsid w:val="7D0A0BA4"/>
    <w:rsid w:val="7D107AF3"/>
    <w:rsid w:val="7D1307C6"/>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030EC3"/>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2"/>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 w:type="table" w:customStyle="1" w:styleId="30">
    <w:name w:val="Table Normal"/>
    <w:semiHidden/>
    <w:unhideWhenUsed/>
    <w:qFormat/>
    <w:uiPriority w:val="0"/>
    <w:tblPr>
      <w:tblCellMar>
        <w:top w:w="0" w:type="dxa"/>
        <w:left w:w="0" w:type="dxa"/>
        <w:bottom w:w="0" w:type="dxa"/>
        <w:right w:w="0" w:type="dxa"/>
      </w:tblCellMar>
    </w:tblPr>
  </w:style>
  <w:style w:type="character" w:customStyle="1" w:styleId="31">
    <w:name w:val="font71"/>
    <w:basedOn w:val="18"/>
    <w:qFormat/>
    <w:uiPriority w:val="0"/>
    <w:rPr>
      <w:rFonts w:hint="eastAsia" w:ascii="宋体" w:hAnsi="宋体" w:eastAsia="宋体" w:cs="宋体"/>
      <w:color w:val="000000"/>
      <w:sz w:val="22"/>
      <w:szCs w:val="22"/>
      <w:u w:val="none"/>
    </w:rPr>
  </w:style>
  <w:style w:type="character" w:customStyle="1" w:styleId="32">
    <w:name w:val="font41"/>
    <w:basedOn w:val="18"/>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49</Pages>
  <Words>2059</Words>
  <Characters>2577</Characters>
  <Lines>0</Lines>
  <Paragraphs>0</Paragraphs>
  <TotalTime>4</TotalTime>
  <ScaleCrop>false</ScaleCrop>
  <LinksUpToDate>false</LinksUpToDate>
  <CharactersWithSpaces>2642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亦旧.</cp:lastModifiedBy>
  <cp:lastPrinted>2026-04-14T00:27:00Z</cp:lastPrinted>
  <dcterms:modified xsi:type="dcterms:W3CDTF">2026-04-17T06:08:13Z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D11A697664DD4AEDAB7F406CE9EC0FBC_13</vt:lpwstr>
  </property>
  <property fmtid="{D5CDD505-2E9C-101B-9397-08002B2CF9AE}" pid="4" name="KSOTemplateDocerSaveRecord">
    <vt:lpwstr>eyJoZGlkIjoiNjc1NDc4NTI3ZjFjZGE2MzkwMWNkNDNjNDlkZjBkNTMiLCJ1c2VySWQiOiI4NDYxOTM4NDEifQ==</vt:lpwstr>
  </property>
</Properties>
</file>