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center"/>
        <w:textAlignment w:val="auto"/>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华佗中医药文化传承创新示范项目配套服务用房工程起重设备工程专业分包</w:t>
      </w:r>
    </w:p>
    <w:p w14:paraId="0F96D7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AHTKJS-2026-018号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华佗中医药文化传承创新示范项目配套服务用房工程起重设备工程专业分包</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华佗中医药文化传承创新示范项目配套服务用房工程起重设备工程专业分包</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AHTKJS-2026-018号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A2D83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 xml:space="preserve"> 287000元</w:t>
      </w:r>
      <w:permEnd w:id="8"/>
      <w:r>
        <w:rPr>
          <w:rFonts w:hint="eastAsia" w:asciiTheme="minorEastAsia" w:hAnsiTheme="minorEastAsia" w:eastAsiaTheme="minorEastAsia" w:cstheme="minorEastAsia"/>
          <w:kern w:val="2"/>
          <w:sz w:val="28"/>
          <w:szCs w:val="28"/>
          <w:highlight w:val="none"/>
          <w:lang w:val="en-US" w:eastAsia="zh-CN"/>
        </w:rPr>
        <w:t>，按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37DE56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本次采购的范围是</w:t>
      </w:r>
      <w:r>
        <w:rPr>
          <w:rFonts w:hint="eastAsia" w:asciiTheme="minorEastAsia" w:hAnsiTheme="minorEastAsia" w:cstheme="minorEastAsia"/>
          <w:kern w:val="2"/>
          <w:sz w:val="28"/>
          <w:szCs w:val="28"/>
          <w:highlight w:val="none"/>
          <w:lang w:val="en-US" w:eastAsia="zh-CN"/>
        </w:rPr>
        <w:t>华佗中医药文化传承创新示范项目配套服务用房工程起重设备工程专业分包</w:t>
      </w:r>
      <w:r>
        <w:rPr>
          <w:rFonts w:hint="eastAsia" w:asciiTheme="minorEastAsia" w:hAnsiTheme="minorEastAsia" w:eastAsiaTheme="minorEastAsia" w:cstheme="minorEastAsia"/>
          <w:kern w:val="2"/>
          <w:sz w:val="28"/>
          <w:szCs w:val="28"/>
          <w:highlight w:val="none"/>
          <w:lang w:val="en-US" w:eastAsia="zh-CN"/>
        </w:rPr>
        <w:t>，按照图纸、工程量清单及采购人的要求完成所有工作任务。供应商响应前请认真看阅施工图、并现场勘察了解情况，响应时我方认为供应商已充分了解工程概况及工作范围。</w:t>
      </w:r>
    </w:p>
    <w:permEnd w:id="10"/>
    <w:p w14:paraId="673199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塔吊自采购人下达开工指令之日起4个月，物料提升机自采购人下达开工指令之日起2个月。（具体以实际使用时间为准）</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华佗百草园园区内</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8BB9B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具有独立法人资格，并在人员、设备、施工机具、资金等方面具有承担本工程施工的能力。</w:t>
      </w:r>
    </w:p>
    <w:p w14:paraId="2E1B8F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具有</w:t>
      </w:r>
      <w:r>
        <w:rPr>
          <w:rFonts w:hint="eastAsia" w:asciiTheme="minorEastAsia" w:hAnsiTheme="minorEastAsia" w:cstheme="minorEastAsia"/>
          <w:kern w:val="2"/>
          <w:sz w:val="28"/>
          <w:szCs w:val="28"/>
          <w:highlight w:val="none"/>
          <w:lang w:val="en-US" w:eastAsia="zh-CN"/>
        </w:rPr>
        <w:t>有效的</w:t>
      </w:r>
      <w:r>
        <w:rPr>
          <w:rFonts w:hint="eastAsia" w:asciiTheme="minorEastAsia" w:hAnsiTheme="minorEastAsia" w:eastAsiaTheme="minorEastAsia" w:cstheme="minorEastAsia"/>
          <w:kern w:val="2"/>
          <w:sz w:val="28"/>
          <w:szCs w:val="28"/>
          <w:highlight w:val="none"/>
          <w:lang w:val="en-US" w:eastAsia="zh-CN"/>
        </w:rPr>
        <w:t>起重设备安装工程专业承包二级及以上资质以及有效的安全生产许可证。</w:t>
      </w:r>
    </w:p>
    <w:p w14:paraId="7749CF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r>
        <w:rPr>
          <w:rFonts w:hint="eastAsia" w:asciiTheme="minorEastAsia" w:hAnsiTheme="minorEastAsia" w:eastAsiaTheme="minorEastAsia" w:cstheme="minorEastAsia"/>
          <w:color w:val="FF0000"/>
          <w:kern w:val="2"/>
          <w:sz w:val="28"/>
          <w:szCs w:val="28"/>
          <w:highlight w:val="none"/>
          <w:u w:val="single"/>
          <w:lang w:val="en-US" w:eastAsia="zh-CN"/>
        </w:rPr>
        <w:t>2023</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kern w:val="2"/>
          <w:sz w:val="28"/>
          <w:szCs w:val="28"/>
          <w:highlight w:val="none"/>
          <w:u w:val="single"/>
          <w:lang w:val="en-US" w:eastAsia="zh-CN"/>
        </w:rPr>
        <w:t>单项合同金额不低于20万元的起重设备工程业绩</w:t>
      </w:r>
      <w:r>
        <w:rPr>
          <w:rFonts w:hint="eastAsia" w:asciiTheme="minorEastAsia" w:hAnsiTheme="minorEastAsia" w:cstheme="minorEastAsia"/>
          <w:kern w:val="2"/>
          <w:sz w:val="28"/>
          <w:szCs w:val="28"/>
          <w:highlight w:val="none"/>
          <w:u w:val="single"/>
          <w:lang w:val="en-US" w:eastAsia="zh-CN"/>
        </w:rPr>
        <w:t>。</w:t>
      </w:r>
      <w:permEnd w:id="15"/>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6"/>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8"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11</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8"/>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5000.00元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FFDEC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杜经理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
    <w:permEnd w:id="24"/>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27</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5000.00元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AHTKJS-2026-018号保证金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华佗中医药文化传承创新示范项目配套服务用房工程起重设备工程专业分包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项目编号：AHTKJS-2026-018号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项目竣工验收合格且工程无质量问题（或质量问题已解决）后退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5532"/>
      <w:bookmarkStart w:id="2" w:name="_Toc246996921"/>
      <w:bookmarkStart w:id="3" w:name="_Toc247085692"/>
      <w:bookmarkStart w:id="4" w:name="_Toc152042308"/>
      <w:bookmarkStart w:id="5" w:name="_Toc179632549"/>
      <w:bookmarkStart w:id="6" w:name="_Toc296602423"/>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52045536"/>
      <w:bookmarkStart w:id="10" w:name="_Toc152042312"/>
      <w:bookmarkStart w:id="11" w:name="_Toc246996181"/>
      <w:bookmarkStart w:id="12" w:name="_Toc144974504"/>
      <w:bookmarkStart w:id="13" w:name="_Toc246996924"/>
      <w:bookmarkStart w:id="14" w:name="_Toc247085695"/>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152042313"/>
      <w:bookmarkStart w:id="19" w:name="_Toc246996925"/>
      <w:bookmarkStart w:id="20" w:name="_Toc152045537"/>
      <w:bookmarkStart w:id="21" w:name="_Toc296602427"/>
      <w:bookmarkStart w:id="22" w:name="_Toc247085696"/>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183"/>
      <w:bookmarkStart w:id="26" w:name="_Toc152045538"/>
      <w:bookmarkStart w:id="27" w:name="_Toc246996926"/>
      <w:bookmarkStart w:id="28" w:name="_Toc179632555"/>
      <w:bookmarkStart w:id="29" w:name="_Toc144974506"/>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246996187"/>
      <w:bookmarkStart w:id="33" w:name="_Toc152042318"/>
      <w:bookmarkStart w:id="34" w:name="_Toc144974510"/>
      <w:bookmarkStart w:id="35" w:name="_Toc179632560"/>
      <w:bookmarkStart w:id="36" w:name="_Toc296602432"/>
      <w:bookmarkStart w:id="37" w:name="_Toc152045542"/>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7085702"/>
      <w:bookmarkStart w:id="41" w:name="_Toc152042319"/>
      <w:bookmarkStart w:id="42" w:name="_Toc246996931"/>
      <w:bookmarkStart w:id="43" w:name="_Toc179632561"/>
      <w:bookmarkStart w:id="44" w:name="_Toc144974511"/>
      <w:bookmarkStart w:id="45" w:name="_Toc246996188"/>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2320"/>
      <w:bookmarkStart w:id="49" w:name="_Toc247085703"/>
      <w:bookmarkStart w:id="50" w:name="_Toc152045544"/>
      <w:bookmarkStart w:id="51" w:name="_Toc246996932"/>
      <w:bookmarkStart w:id="52" w:name="_Toc179632562"/>
      <w:bookmarkStart w:id="53" w:name="_Toc296602434"/>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47085704"/>
      <w:bookmarkStart w:id="57" w:name="_Toc246996190"/>
      <w:bookmarkStart w:id="58" w:name="_Toc144974513"/>
      <w:bookmarkStart w:id="59" w:name="_Toc296602435"/>
      <w:bookmarkStart w:id="60" w:name="_Toc152042321"/>
      <w:bookmarkStart w:id="61" w:name="_Toc246996933"/>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6996191"/>
      <w:bookmarkStart w:id="65" w:name="_Toc144974514"/>
      <w:bookmarkStart w:id="66" w:name="_Toc152045546"/>
      <w:bookmarkStart w:id="67" w:name="_Toc152042322"/>
      <w:bookmarkStart w:id="68" w:name="_Toc296602436"/>
      <w:bookmarkStart w:id="69" w:name="_Toc247085705"/>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152042323"/>
      <w:bookmarkStart w:id="73" w:name="_Toc144974515"/>
      <w:bookmarkStart w:id="74" w:name="_Toc296602437"/>
      <w:bookmarkStart w:id="75" w:name="_Toc246996935"/>
      <w:bookmarkStart w:id="76" w:name="_Toc152045547"/>
      <w:bookmarkStart w:id="77" w:name="_Toc246996192"/>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44974516"/>
      <w:bookmarkStart w:id="81" w:name="_Toc152042324"/>
      <w:bookmarkStart w:id="82" w:name="_Toc246996193"/>
      <w:bookmarkStart w:id="83" w:name="_Toc296602438"/>
      <w:bookmarkStart w:id="84" w:name="_Toc152045548"/>
      <w:bookmarkStart w:id="85" w:name="_Toc179632566"/>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5555"/>
      <w:bookmarkStart w:id="97" w:name="_Toc246996942"/>
      <w:bookmarkStart w:id="98" w:name="_Toc246996199"/>
      <w:bookmarkStart w:id="99" w:name="_Toc152042331"/>
      <w:bookmarkStart w:id="100" w:name="_Toc144974523"/>
      <w:bookmarkStart w:id="101" w:name="_Toc296602443"/>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200"/>
      <w:bookmarkStart w:id="105" w:name="_Toc179632574"/>
      <w:bookmarkStart w:id="106" w:name="_Toc144974524"/>
      <w:bookmarkStart w:id="107" w:name="_Toc152042332"/>
      <w:bookmarkStart w:id="108" w:name="_Toc247085714"/>
      <w:bookmarkStart w:id="109" w:name="_Toc29660244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6996944"/>
      <w:bookmarkStart w:id="113" w:name="_Toc246996201"/>
      <w:bookmarkStart w:id="114" w:name="_Toc144974525"/>
      <w:bookmarkStart w:id="115" w:name="_Toc247085715"/>
      <w:bookmarkStart w:id="116" w:name="_Toc152045557"/>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945"/>
      <w:bookmarkStart w:id="120" w:name="_Toc152045558"/>
      <w:bookmarkStart w:id="121" w:name="_Toc144974526"/>
      <w:bookmarkStart w:id="122" w:name="_Toc247085716"/>
      <w:bookmarkStart w:id="123" w:name="_Toc152042334"/>
      <w:bookmarkStart w:id="124" w:name="_Toc29660244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44974527"/>
      <w:bookmarkStart w:id="128" w:name="_Toc247085717"/>
      <w:bookmarkStart w:id="129" w:name="_Toc152042335"/>
      <w:bookmarkStart w:id="130" w:name="_Toc296602447"/>
      <w:bookmarkStart w:id="131" w:name="_Toc246996946"/>
      <w:bookmarkStart w:id="132" w:name="_Toc152045559"/>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144974528"/>
      <w:bookmarkStart w:id="136" w:name="_Toc296602448"/>
      <w:bookmarkStart w:id="137" w:name="_Toc246996204"/>
      <w:bookmarkStart w:id="138" w:name="_Toc246996947"/>
      <w:bookmarkStart w:id="139" w:name="_Toc247085718"/>
      <w:bookmarkStart w:id="140" w:name="_Toc152045560"/>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46996205"/>
      <w:bookmarkStart w:id="144" w:name="_Toc152042337"/>
      <w:bookmarkStart w:id="145" w:name="_Toc247085719"/>
      <w:bookmarkStart w:id="146" w:name="_Toc179632579"/>
      <w:bookmarkStart w:id="147" w:name="_Toc152045561"/>
      <w:bookmarkStart w:id="148" w:name="_Toc29660244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144974531"/>
      <w:bookmarkStart w:id="153" w:name="_Toc246996207"/>
      <w:bookmarkStart w:id="154" w:name="_Toc179632581"/>
      <w:bookmarkStart w:id="155" w:name="_Toc152045563"/>
      <w:bookmarkStart w:id="156" w:name="_Toc246996950"/>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247085724"/>
      <w:bookmarkStart w:id="160" w:name="_Toc296602455"/>
      <w:bookmarkStart w:id="161" w:name="_Toc246996210"/>
      <w:bookmarkStart w:id="162" w:name="_Toc152045566"/>
      <w:bookmarkStart w:id="163" w:name="_Toc179632584"/>
      <w:bookmarkStart w:id="164" w:name="_Toc246996953"/>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954"/>
      <w:bookmarkStart w:id="168" w:name="_Toc152045567"/>
      <w:bookmarkStart w:id="169" w:name="_Toc152042343"/>
      <w:bookmarkStart w:id="170" w:name="_Toc296602456"/>
      <w:bookmarkStart w:id="171" w:name="_Toc179632585"/>
      <w:bookmarkStart w:id="172" w:name="_Toc246996211"/>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52042344"/>
      <w:bookmarkStart w:id="177" w:name="_Toc152045568"/>
      <w:bookmarkStart w:id="178" w:name="_Toc144974536"/>
      <w:bookmarkStart w:id="179" w:name="_Toc296602458"/>
      <w:bookmarkStart w:id="180" w:name="_Toc246996212"/>
      <w:bookmarkStart w:id="181" w:name="_Toc246996955"/>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2345"/>
      <w:bookmarkStart w:id="185" w:name="_Toc246996213"/>
      <w:bookmarkStart w:id="186" w:name="_Toc179632587"/>
      <w:bookmarkStart w:id="187" w:name="_Toc144974537"/>
      <w:bookmarkStart w:id="188" w:name="_Toc296602459"/>
      <w:bookmarkStart w:id="189" w:name="_Toc152045569"/>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144974543"/>
      <w:bookmarkStart w:id="194" w:name="_Toc246996962"/>
      <w:bookmarkStart w:id="195" w:name="_Toc296602462"/>
      <w:bookmarkStart w:id="196" w:name="_Toc296590983"/>
      <w:bookmarkStart w:id="197" w:name="_Toc179632593"/>
      <w:bookmarkStart w:id="198" w:name="_Toc152042351"/>
      <w:bookmarkStart w:id="199" w:name="_Toc246996219"/>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152045576"/>
      <w:bookmarkStart w:id="203" w:name="_Toc152042352"/>
      <w:bookmarkStart w:id="204" w:name="_Toc247085734"/>
      <w:bookmarkStart w:id="205" w:name="_Toc246996963"/>
      <w:bookmarkStart w:id="206" w:name="_Toc296602463"/>
      <w:bookmarkStart w:id="207" w:name="_Toc17963259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47085735"/>
      <w:bookmarkStart w:id="211" w:name="_Toc246996221"/>
      <w:bookmarkStart w:id="212" w:name="_Toc144974545"/>
      <w:bookmarkStart w:id="213" w:name="_Toc296602464"/>
      <w:bookmarkStart w:id="214" w:name="_Toc246996964"/>
      <w:bookmarkStart w:id="215" w:name="_Toc17963259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96602477"/>
            <w:bookmarkStart w:id="219" w:name="_Toc246996975"/>
            <w:bookmarkStart w:id="220" w:name="_Toc247085747"/>
            <w:bookmarkStart w:id="221" w:name="_Toc144974556"/>
            <w:bookmarkStart w:id="222" w:name="_Toc179632607"/>
            <w:bookmarkStart w:id="223" w:name="_Toc152045589"/>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144974560"/>
      <w:bookmarkStart w:id="227" w:name="_Toc152045593"/>
      <w:bookmarkStart w:id="228" w:name="_Toc296602481"/>
      <w:bookmarkStart w:id="229" w:name="_Toc246996236"/>
      <w:bookmarkStart w:id="230" w:name="_Toc247085751"/>
      <w:bookmarkStart w:id="231" w:name="_Toc152042370"/>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982"/>
      <w:bookmarkStart w:id="235" w:name="_Toc152045596"/>
      <w:bookmarkStart w:id="236" w:name="_Toc152042373"/>
      <w:bookmarkStart w:id="237" w:name="_Toc296602484"/>
      <w:bookmarkStart w:id="238" w:name="_Toc247085754"/>
      <w:bookmarkStart w:id="239" w:name="_Toc17963261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557F3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每台塔吊、物料提升机备案完成后，支付进出场费的50%。租赁费用按照季度支付租赁费的80%，退场后三个月内剩余结算款一次性支付完成。</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211C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F431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80C25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6FBA87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1.成交人未按要求配备管理人员，将处于500元/人/天的处罚，处罚金额将从当期工程款中予以扣除。</w:t>
            </w:r>
          </w:p>
          <w:p w14:paraId="4067F9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2.由于建设单位未支付工程款等原因导致工程款未及时发放，成交人不得擅自采取停工、上访等措施，否则由此造成的采购人工期延误、名誉受损、增加管理人员等一切经济损失、法律责任由成交人承担。</w:t>
            </w:r>
          </w:p>
          <w:p w14:paraId="0B5AD2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须按采购人要求建立健全劳资专管员制度，对施工人员进行实名制管理和登记，成交人每月上报本工程农民工工资清单，每月10日前委托开设农民工工资专用账户的银行支付农民工工资。通过专户由银行打卡发放农民工工资并切实落实安全文明施工措施。成交人违反上述规定或者因拖欠工资出现农民工群体事件和讨薪事件发生的，成交人应承担相应的违约责任。成交人每月进度款需预留下月农民工专项账户所需金额，如预留不足或发生农民工投诉、政府监管部门处罚的情况，则由成交人补足，并承担相应损失。</w:t>
            </w:r>
          </w:p>
          <w:p w14:paraId="3364F8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在每次付款时需按照采购人要求全额（当期实际完成工程量）提供符合本工程并满足财务所需的工程类增值税专用发票及进项税抵扣联（提供全额9%增值税专用发票），若成交人未按照本条约定出具符合要求的全额增值税发票的，采购人有权不予支付，成交人不承担任何违约责任，由此产生的资金占用等费用由成交人自行承担。</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28E05123">
      <w:pPr>
        <w:pStyle w:val="7"/>
        <w:numPr>
          <w:ilvl w:val="0"/>
          <w:numId w:val="0"/>
        </w:numPr>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一</w:t>
      </w:r>
      <w:r>
        <w:rPr>
          <w:rFonts w:hint="eastAsia" w:asciiTheme="minorEastAsia" w:hAnsiTheme="minorEastAsia" w:cstheme="minorEastAsia"/>
          <w:kern w:val="2"/>
          <w:sz w:val="28"/>
          <w:szCs w:val="28"/>
          <w:highlight w:val="none"/>
          <w:lang w:val="en-US" w:eastAsia="zh-CN" w:bidi="ar-SA"/>
        </w:rPr>
        <w:t>、</w:t>
      </w:r>
      <w:r>
        <w:rPr>
          <w:rFonts w:hint="eastAsia" w:asciiTheme="minorEastAsia" w:hAnsiTheme="minorEastAsia" w:eastAsiaTheme="minorEastAsia" w:cstheme="minorEastAsia"/>
          <w:kern w:val="2"/>
          <w:sz w:val="28"/>
          <w:szCs w:val="28"/>
          <w:highlight w:val="none"/>
          <w:lang w:val="en-US" w:eastAsia="zh-CN" w:bidi="ar-SA"/>
        </w:rPr>
        <w:t>采购清单：</w:t>
      </w:r>
    </w:p>
    <w:p w14:paraId="2056423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附件：采购清单</w:t>
      </w:r>
    </w:p>
    <w:tbl>
      <w:tblPr>
        <w:tblStyle w:val="1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3"/>
        <w:gridCol w:w="2347"/>
        <w:gridCol w:w="1682"/>
        <w:gridCol w:w="571"/>
        <w:gridCol w:w="808"/>
        <w:gridCol w:w="1400"/>
        <w:gridCol w:w="808"/>
        <w:gridCol w:w="453"/>
      </w:tblGrid>
      <w:tr w14:paraId="60312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5629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16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E2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工作名称</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9C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暂定量</w:t>
            </w:r>
          </w:p>
        </w:tc>
        <w:tc>
          <w:tcPr>
            <w:tcW w:w="427"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189DE9C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时间（月）</w:t>
            </w:r>
          </w:p>
        </w:tc>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5750">
            <w:pPr>
              <w:keepNext w:val="0"/>
              <w:keepLines w:val="0"/>
              <w:widowControl/>
              <w:suppressLineNumbers w:val="0"/>
              <w:tabs>
                <w:tab w:val="left" w:pos="605"/>
                <w:tab w:val="center" w:pos="1564"/>
              </w:tabs>
              <w:ind w:left="0" w:leftChars="0" w:firstLine="0" w:firstLineChars="0"/>
              <w:jc w:val="left"/>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投标单价（元/台/月）</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EEB9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总价（元）</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7E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5851F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277" w:type="pct"/>
            <w:vMerge w:val="restart"/>
            <w:tcBorders>
              <w:top w:val="single" w:color="000000" w:sz="4" w:space="0"/>
              <w:left w:val="single" w:color="000000" w:sz="4" w:space="0"/>
              <w:right w:val="single" w:color="000000" w:sz="4" w:space="0"/>
            </w:tcBorders>
            <w:shd w:val="clear" w:color="auto" w:fill="auto"/>
            <w:noWrap/>
            <w:vAlign w:val="center"/>
          </w:tcPr>
          <w:p w14:paraId="0603F7D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856" w:type="pct"/>
            <w:vMerge w:val="restart"/>
            <w:tcBorders>
              <w:top w:val="single" w:color="000000" w:sz="4" w:space="0"/>
              <w:left w:val="single" w:color="000000" w:sz="4" w:space="0"/>
              <w:right w:val="single" w:color="000000" w:sz="4" w:space="0"/>
            </w:tcBorders>
            <w:shd w:val="clear" w:color="auto" w:fill="auto"/>
            <w:vAlign w:val="center"/>
          </w:tcPr>
          <w:p w14:paraId="2C07F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塔吊租赁费用 （含1个塔吊司机、1个信号工、1个司索工）</w:t>
            </w:r>
          </w:p>
        </w:tc>
        <w:tc>
          <w:tcPr>
            <w:tcW w:w="839" w:type="pct"/>
            <w:tcBorders>
              <w:top w:val="single" w:color="000000" w:sz="4" w:space="0"/>
              <w:left w:val="single" w:color="000000" w:sz="4" w:space="0"/>
              <w:right w:val="single" w:color="000000" w:sz="4" w:space="0"/>
            </w:tcBorders>
            <w:shd w:val="clear" w:color="auto" w:fill="auto"/>
            <w:vAlign w:val="center"/>
          </w:tcPr>
          <w:p w14:paraId="0ED00A45">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塔吊租赁费用</w:t>
            </w:r>
          </w:p>
        </w:tc>
        <w:tc>
          <w:tcPr>
            <w:tcW w:w="465" w:type="pct"/>
            <w:tcBorders>
              <w:top w:val="single" w:color="000000" w:sz="4" w:space="0"/>
              <w:left w:val="single" w:color="000000" w:sz="4" w:space="0"/>
              <w:right w:val="single" w:color="auto" w:sz="4" w:space="0"/>
            </w:tcBorders>
            <w:shd w:val="clear" w:color="auto" w:fill="auto"/>
            <w:noWrap/>
            <w:vAlign w:val="center"/>
          </w:tcPr>
          <w:p w14:paraId="19D9FAF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2台</w:t>
            </w:r>
          </w:p>
        </w:tc>
        <w:tc>
          <w:tcPr>
            <w:tcW w:w="427" w:type="pct"/>
            <w:vMerge w:val="restart"/>
            <w:tcBorders>
              <w:top w:val="single" w:color="auto" w:sz="4" w:space="0"/>
              <w:left w:val="single" w:color="auto" w:sz="4" w:space="0"/>
              <w:right w:val="single" w:color="auto" w:sz="4" w:space="0"/>
            </w:tcBorders>
            <w:shd w:val="clear" w:color="auto" w:fill="auto"/>
            <w:noWrap/>
            <w:vAlign w:val="center"/>
          </w:tcPr>
          <w:p w14:paraId="15D2C33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914" w:type="pct"/>
            <w:tcBorders>
              <w:top w:val="single" w:color="000000" w:sz="4" w:space="0"/>
              <w:left w:val="single" w:color="auto" w:sz="4" w:space="0"/>
              <w:right w:val="single" w:color="000000" w:sz="4" w:space="0"/>
            </w:tcBorders>
            <w:shd w:val="clear" w:color="auto" w:fill="auto"/>
            <w:noWrap/>
            <w:vAlign w:val="center"/>
          </w:tcPr>
          <w:p w14:paraId="31346D7A">
            <w:pPr>
              <w:ind w:left="0" w:leftChars="0" w:firstLine="0" w:firstLineChars="0"/>
              <w:jc w:val="center"/>
              <w:rPr>
                <w:rFonts w:hint="eastAsia" w:ascii="宋体" w:hAnsi="宋体" w:eastAsia="宋体" w:cs="宋体"/>
                <w:i w:val="0"/>
                <w:iCs w:val="0"/>
                <w:color w:val="000000"/>
                <w:sz w:val="22"/>
                <w:szCs w:val="22"/>
                <w:u w:val="none"/>
                <w:lang w:val="en-US" w:eastAsia="zh-CN"/>
              </w:rPr>
            </w:pPr>
          </w:p>
        </w:tc>
        <w:tc>
          <w:tcPr>
            <w:tcW w:w="545" w:type="pct"/>
            <w:tcBorders>
              <w:top w:val="single" w:color="000000" w:sz="4" w:space="0"/>
              <w:left w:val="single" w:color="000000" w:sz="4" w:space="0"/>
              <w:right w:val="single" w:color="000000" w:sz="4" w:space="0"/>
            </w:tcBorders>
            <w:shd w:val="clear" w:color="auto" w:fill="auto"/>
            <w:noWrap/>
            <w:vAlign w:val="center"/>
          </w:tcPr>
          <w:p w14:paraId="794BEB49">
            <w:pPr>
              <w:jc w:val="center"/>
              <w:rPr>
                <w:rFonts w:hint="eastAsia" w:ascii="宋体" w:hAnsi="宋体" w:eastAsia="宋体" w:cs="宋体"/>
                <w:i w:val="0"/>
                <w:iCs w:val="0"/>
                <w:color w:val="000000"/>
                <w:sz w:val="22"/>
                <w:szCs w:val="22"/>
                <w:u w:val="none"/>
              </w:rPr>
            </w:pP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961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25454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77" w:type="pct"/>
            <w:vMerge w:val="continue"/>
            <w:tcBorders>
              <w:left w:val="single" w:color="000000" w:sz="4" w:space="0"/>
              <w:right w:val="single" w:color="000000" w:sz="4" w:space="0"/>
            </w:tcBorders>
            <w:shd w:val="clear" w:color="auto" w:fill="auto"/>
            <w:noWrap/>
            <w:vAlign w:val="center"/>
          </w:tcPr>
          <w:p w14:paraId="06617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56" w:type="pct"/>
            <w:vMerge w:val="continue"/>
            <w:tcBorders>
              <w:left w:val="single" w:color="000000" w:sz="4" w:space="0"/>
              <w:right w:val="single" w:color="000000" w:sz="4" w:space="0"/>
            </w:tcBorders>
            <w:shd w:val="clear" w:color="auto" w:fill="auto"/>
            <w:noWrap/>
            <w:vAlign w:val="center"/>
          </w:tcPr>
          <w:p w14:paraId="6AF13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25858">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塔吊司机</w:t>
            </w:r>
          </w:p>
        </w:tc>
        <w:tc>
          <w:tcPr>
            <w:tcW w:w="465"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4E9E9635">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427" w:type="pct"/>
            <w:vMerge w:val="continue"/>
            <w:tcBorders>
              <w:left w:val="single" w:color="auto" w:sz="4" w:space="0"/>
              <w:right w:val="single" w:color="auto" w:sz="4" w:space="0"/>
            </w:tcBorders>
            <w:shd w:val="clear" w:color="auto" w:fill="auto"/>
            <w:noWrap/>
            <w:vAlign w:val="center"/>
          </w:tcPr>
          <w:p w14:paraId="72656C70">
            <w:pPr>
              <w:jc w:val="center"/>
              <w:rPr>
                <w:rFonts w:hint="eastAsia" w:ascii="宋体" w:hAnsi="宋体" w:eastAsia="宋体" w:cs="宋体"/>
                <w:i w:val="0"/>
                <w:iCs w:val="0"/>
                <w:color w:val="000000"/>
                <w:sz w:val="22"/>
                <w:szCs w:val="22"/>
                <w:u w:val="none"/>
              </w:rPr>
            </w:pPr>
          </w:p>
        </w:tc>
        <w:tc>
          <w:tcPr>
            <w:tcW w:w="914"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37999E29">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4F97">
            <w:pPr>
              <w:jc w:val="center"/>
              <w:rPr>
                <w:rFonts w:hint="eastAsia" w:ascii="宋体" w:hAnsi="宋体" w:eastAsia="宋体" w:cs="宋体"/>
                <w:i w:val="0"/>
                <w:iCs w:val="0"/>
                <w:color w:val="000000"/>
                <w:sz w:val="22"/>
                <w:szCs w:val="22"/>
                <w:u w:val="none"/>
              </w:rPr>
            </w:pP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00BD5">
            <w:pPr>
              <w:jc w:val="center"/>
              <w:rPr>
                <w:rFonts w:hint="eastAsia" w:ascii="宋体" w:hAnsi="宋体" w:eastAsia="宋体" w:cs="宋体"/>
                <w:i w:val="0"/>
                <w:iCs w:val="0"/>
                <w:color w:val="000000"/>
                <w:sz w:val="22"/>
                <w:szCs w:val="22"/>
                <w:u w:val="none"/>
              </w:rPr>
            </w:pPr>
          </w:p>
        </w:tc>
      </w:tr>
      <w:tr w14:paraId="6DCC6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77" w:type="pct"/>
            <w:vMerge w:val="continue"/>
            <w:tcBorders>
              <w:left w:val="single" w:color="000000" w:sz="4" w:space="0"/>
              <w:right w:val="single" w:color="000000" w:sz="4" w:space="0"/>
            </w:tcBorders>
            <w:shd w:val="clear" w:color="auto" w:fill="auto"/>
            <w:noWrap/>
            <w:vAlign w:val="center"/>
          </w:tcPr>
          <w:p w14:paraId="56598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56" w:type="pct"/>
            <w:vMerge w:val="continue"/>
            <w:tcBorders>
              <w:left w:val="single" w:color="000000" w:sz="4" w:space="0"/>
              <w:right w:val="single" w:color="000000" w:sz="4" w:space="0"/>
            </w:tcBorders>
            <w:shd w:val="clear" w:color="auto" w:fill="auto"/>
            <w:noWrap/>
            <w:vAlign w:val="center"/>
          </w:tcPr>
          <w:p w14:paraId="696EC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B90A">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信号工</w:t>
            </w:r>
          </w:p>
        </w:tc>
        <w:tc>
          <w:tcPr>
            <w:tcW w:w="465"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4BD28533">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427" w:type="pct"/>
            <w:vMerge w:val="continue"/>
            <w:tcBorders>
              <w:left w:val="single" w:color="auto" w:sz="4" w:space="0"/>
              <w:right w:val="single" w:color="auto" w:sz="4" w:space="0"/>
            </w:tcBorders>
            <w:shd w:val="clear" w:color="auto" w:fill="auto"/>
            <w:noWrap/>
            <w:vAlign w:val="center"/>
          </w:tcPr>
          <w:p w14:paraId="3F3F5EB5">
            <w:pPr>
              <w:jc w:val="center"/>
              <w:rPr>
                <w:rFonts w:hint="eastAsia" w:ascii="宋体" w:hAnsi="宋体" w:eastAsia="宋体" w:cs="宋体"/>
                <w:i w:val="0"/>
                <w:iCs w:val="0"/>
                <w:color w:val="000000"/>
                <w:sz w:val="22"/>
                <w:szCs w:val="22"/>
                <w:u w:val="none"/>
              </w:rPr>
            </w:pPr>
          </w:p>
        </w:tc>
        <w:tc>
          <w:tcPr>
            <w:tcW w:w="914"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5BFAFCF4">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95AE8">
            <w:pPr>
              <w:jc w:val="center"/>
              <w:rPr>
                <w:rFonts w:hint="eastAsia" w:ascii="宋体" w:hAnsi="宋体" w:eastAsia="宋体" w:cs="宋体"/>
                <w:i w:val="0"/>
                <w:iCs w:val="0"/>
                <w:color w:val="000000"/>
                <w:sz w:val="22"/>
                <w:szCs w:val="22"/>
                <w:u w:val="none"/>
              </w:rPr>
            </w:pP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39F5B">
            <w:pPr>
              <w:jc w:val="center"/>
              <w:rPr>
                <w:rFonts w:hint="eastAsia" w:ascii="宋体" w:hAnsi="宋体" w:eastAsia="宋体" w:cs="宋体"/>
                <w:i w:val="0"/>
                <w:iCs w:val="0"/>
                <w:color w:val="000000"/>
                <w:sz w:val="22"/>
                <w:szCs w:val="22"/>
                <w:u w:val="none"/>
              </w:rPr>
            </w:pPr>
          </w:p>
        </w:tc>
      </w:tr>
      <w:tr w14:paraId="47E14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77" w:type="pct"/>
            <w:vMerge w:val="continue"/>
            <w:tcBorders>
              <w:left w:val="single" w:color="000000" w:sz="4" w:space="0"/>
              <w:bottom w:val="nil"/>
              <w:right w:val="single" w:color="000000" w:sz="4" w:space="0"/>
            </w:tcBorders>
            <w:shd w:val="clear" w:color="auto" w:fill="auto"/>
            <w:noWrap/>
            <w:vAlign w:val="center"/>
          </w:tcPr>
          <w:p w14:paraId="3AB8B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56" w:type="pct"/>
            <w:vMerge w:val="continue"/>
            <w:tcBorders>
              <w:left w:val="single" w:color="000000" w:sz="4" w:space="0"/>
              <w:bottom w:val="single" w:color="000000" w:sz="4" w:space="0"/>
              <w:right w:val="single" w:color="000000" w:sz="4" w:space="0"/>
            </w:tcBorders>
            <w:shd w:val="clear" w:color="auto" w:fill="auto"/>
            <w:noWrap/>
            <w:vAlign w:val="center"/>
          </w:tcPr>
          <w:p w14:paraId="0AA60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6FAA">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司索工</w:t>
            </w:r>
          </w:p>
        </w:tc>
        <w:tc>
          <w:tcPr>
            <w:tcW w:w="465"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4423A952">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427" w:type="pct"/>
            <w:vMerge w:val="continue"/>
            <w:tcBorders>
              <w:left w:val="single" w:color="auto" w:sz="4" w:space="0"/>
              <w:bottom w:val="single" w:color="auto" w:sz="4" w:space="0"/>
              <w:right w:val="single" w:color="auto" w:sz="4" w:space="0"/>
            </w:tcBorders>
            <w:shd w:val="clear" w:color="auto" w:fill="auto"/>
            <w:noWrap/>
            <w:vAlign w:val="center"/>
          </w:tcPr>
          <w:p w14:paraId="41C638D9">
            <w:pPr>
              <w:jc w:val="center"/>
              <w:rPr>
                <w:rFonts w:hint="eastAsia" w:ascii="宋体" w:hAnsi="宋体" w:eastAsia="宋体" w:cs="宋体"/>
                <w:i w:val="0"/>
                <w:iCs w:val="0"/>
                <w:color w:val="000000"/>
                <w:sz w:val="22"/>
                <w:szCs w:val="22"/>
                <w:u w:val="none"/>
              </w:rPr>
            </w:pPr>
          </w:p>
        </w:tc>
        <w:tc>
          <w:tcPr>
            <w:tcW w:w="914"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6549907D">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CF6BC">
            <w:pPr>
              <w:jc w:val="center"/>
              <w:rPr>
                <w:rFonts w:hint="eastAsia" w:ascii="宋体" w:hAnsi="宋体" w:eastAsia="宋体" w:cs="宋体"/>
                <w:i w:val="0"/>
                <w:iCs w:val="0"/>
                <w:color w:val="000000"/>
                <w:sz w:val="22"/>
                <w:szCs w:val="22"/>
                <w:u w:val="none"/>
              </w:rPr>
            </w:pPr>
          </w:p>
        </w:tc>
        <w:tc>
          <w:tcPr>
            <w:tcW w:w="673" w:type="pct"/>
            <w:tcBorders>
              <w:top w:val="single" w:color="000000" w:sz="4" w:space="0"/>
              <w:left w:val="single" w:color="000000" w:sz="4" w:space="0"/>
              <w:bottom w:val="single" w:color="auto" w:sz="4" w:space="0"/>
              <w:right w:val="single" w:color="000000" w:sz="4" w:space="0"/>
            </w:tcBorders>
            <w:shd w:val="clear" w:color="auto" w:fill="auto"/>
            <w:vAlign w:val="center"/>
          </w:tcPr>
          <w:p w14:paraId="4F9C427F">
            <w:pPr>
              <w:jc w:val="center"/>
              <w:rPr>
                <w:rFonts w:hint="eastAsia" w:ascii="宋体" w:hAnsi="宋体" w:eastAsia="宋体" w:cs="宋体"/>
                <w:i w:val="0"/>
                <w:iCs w:val="0"/>
                <w:color w:val="000000"/>
                <w:sz w:val="22"/>
                <w:szCs w:val="22"/>
                <w:u w:val="none"/>
              </w:rPr>
            </w:pPr>
          </w:p>
        </w:tc>
      </w:tr>
      <w:tr w14:paraId="23CB1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77" w:type="pct"/>
            <w:vMerge w:val="restart"/>
            <w:tcBorders>
              <w:top w:val="single" w:color="000000" w:sz="4" w:space="0"/>
              <w:left w:val="single" w:color="000000" w:sz="4" w:space="0"/>
              <w:right w:val="single" w:color="000000" w:sz="4" w:space="0"/>
            </w:tcBorders>
            <w:shd w:val="clear" w:color="auto" w:fill="auto"/>
            <w:noWrap/>
            <w:vAlign w:val="center"/>
          </w:tcPr>
          <w:p w14:paraId="6990602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856" w:type="pct"/>
            <w:vMerge w:val="restart"/>
            <w:tcBorders>
              <w:top w:val="single" w:color="000000" w:sz="4" w:space="0"/>
              <w:left w:val="single" w:color="000000" w:sz="4" w:space="0"/>
              <w:right w:val="single" w:color="000000" w:sz="4" w:space="0"/>
            </w:tcBorders>
            <w:shd w:val="clear" w:color="auto" w:fill="auto"/>
            <w:noWrap/>
            <w:vAlign w:val="center"/>
          </w:tcPr>
          <w:p w14:paraId="715E6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物料提升机租赁费      （含1个司机）</w:t>
            </w:r>
          </w:p>
        </w:tc>
        <w:tc>
          <w:tcPr>
            <w:tcW w:w="839" w:type="pct"/>
            <w:tcBorders>
              <w:top w:val="single" w:color="000000" w:sz="4" w:space="0"/>
              <w:left w:val="single" w:color="000000" w:sz="4" w:space="0"/>
              <w:right w:val="single" w:color="000000" w:sz="4" w:space="0"/>
            </w:tcBorders>
            <w:shd w:val="clear" w:color="auto" w:fill="auto"/>
            <w:noWrap/>
            <w:vAlign w:val="center"/>
          </w:tcPr>
          <w:p w14:paraId="3D06196D">
            <w:pPr>
              <w:keepNext w:val="0"/>
              <w:keepLines w:val="0"/>
              <w:widowControl/>
              <w:suppressLineNumbers w:val="0"/>
              <w:jc w:val="both"/>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料提升机租赁费</w:t>
            </w:r>
          </w:p>
        </w:tc>
        <w:tc>
          <w:tcPr>
            <w:tcW w:w="465" w:type="pct"/>
            <w:tcBorders>
              <w:top w:val="single" w:color="000000" w:sz="4" w:space="0"/>
              <w:left w:val="single" w:color="000000" w:sz="4" w:space="0"/>
              <w:right w:val="single" w:color="auto" w:sz="4" w:space="0"/>
            </w:tcBorders>
            <w:shd w:val="clear" w:color="auto" w:fill="auto"/>
            <w:noWrap/>
            <w:vAlign w:val="center"/>
          </w:tcPr>
          <w:p w14:paraId="780C0EB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1台</w:t>
            </w:r>
          </w:p>
        </w:tc>
        <w:tc>
          <w:tcPr>
            <w:tcW w:w="427" w:type="pct"/>
            <w:vMerge w:val="restart"/>
            <w:tcBorders>
              <w:top w:val="single" w:color="auto" w:sz="4" w:space="0"/>
              <w:left w:val="single" w:color="auto" w:sz="4" w:space="0"/>
              <w:right w:val="single" w:color="auto" w:sz="4" w:space="0"/>
            </w:tcBorders>
            <w:shd w:val="clear" w:color="auto" w:fill="auto"/>
            <w:noWrap/>
            <w:vAlign w:val="center"/>
          </w:tcPr>
          <w:p w14:paraId="4EB9E25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914" w:type="pct"/>
            <w:tcBorders>
              <w:top w:val="single" w:color="000000" w:sz="4" w:space="0"/>
              <w:left w:val="single" w:color="auto" w:sz="4" w:space="0"/>
              <w:right w:val="single" w:color="000000" w:sz="4" w:space="0"/>
            </w:tcBorders>
            <w:shd w:val="clear" w:color="auto" w:fill="auto"/>
            <w:noWrap/>
            <w:vAlign w:val="center"/>
          </w:tcPr>
          <w:p w14:paraId="3D34AE5B">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000000" w:sz="4" w:space="0"/>
              <w:left w:val="single" w:color="000000" w:sz="4" w:space="0"/>
              <w:right w:val="single" w:color="auto" w:sz="4" w:space="0"/>
            </w:tcBorders>
            <w:shd w:val="clear" w:color="auto" w:fill="auto"/>
            <w:noWrap/>
            <w:vAlign w:val="center"/>
          </w:tcPr>
          <w:p w14:paraId="3E0C46BB">
            <w:pPr>
              <w:jc w:val="center"/>
              <w:rPr>
                <w:rFonts w:hint="eastAsia" w:ascii="宋体" w:hAnsi="宋体" w:eastAsia="宋体" w:cs="宋体"/>
                <w:i w:val="0"/>
                <w:iCs w:val="0"/>
                <w:color w:val="000000"/>
                <w:sz w:val="22"/>
                <w:szCs w:val="22"/>
                <w:u w:val="none"/>
              </w:rPr>
            </w:pPr>
          </w:p>
        </w:tc>
        <w:tc>
          <w:tcPr>
            <w:tcW w:w="67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6A0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1923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277" w:type="pct"/>
            <w:vMerge w:val="continue"/>
            <w:tcBorders>
              <w:left w:val="single" w:color="000000" w:sz="4" w:space="0"/>
              <w:bottom w:val="single" w:color="000000" w:sz="4" w:space="0"/>
              <w:right w:val="single" w:color="000000" w:sz="4" w:space="0"/>
            </w:tcBorders>
            <w:shd w:val="clear" w:color="auto" w:fill="auto"/>
            <w:noWrap/>
            <w:vAlign w:val="center"/>
          </w:tcPr>
          <w:p w14:paraId="4509E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56" w:type="pct"/>
            <w:vMerge w:val="continue"/>
            <w:tcBorders>
              <w:left w:val="single" w:color="000000" w:sz="4" w:space="0"/>
              <w:bottom w:val="single" w:color="000000" w:sz="4" w:space="0"/>
              <w:right w:val="single" w:color="000000" w:sz="4" w:space="0"/>
            </w:tcBorders>
            <w:shd w:val="clear" w:color="auto" w:fill="auto"/>
            <w:noWrap/>
            <w:vAlign w:val="center"/>
          </w:tcPr>
          <w:p w14:paraId="73337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79263">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司机</w:t>
            </w:r>
          </w:p>
        </w:tc>
        <w:tc>
          <w:tcPr>
            <w:tcW w:w="465"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689DACB2">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1人</w:t>
            </w:r>
          </w:p>
        </w:tc>
        <w:tc>
          <w:tcPr>
            <w:tcW w:w="427" w:type="pct"/>
            <w:vMerge w:val="continue"/>
            <w:tcBorders>
              <w:left w:val="single" w:color="auto" w:sz="4" w:space="0"/>
              <w:bottom w:val="single" w:color="auto" w:sz="4" w:space="0"/>
              <w:right w:val="single" w:color="auto" w:sz="4" w:space="0"/>
            </w:tcBorders>
            <w:shd w:val="clear" w:color="auto" w:fill="auto"/>
            <w:noWrap/>
            <w:vAlign w:val="center"/>
          </w:tcPr>
          <w:p w14:paraId="49D32376">
            <w:pPr>
              <w:jc w:val="center"/>
              <w:rPr>
                <w:rFonts w:hint="eastAsia" w:ascii="宋体" w:hAnsi="宋体" w:eastAsia="宋体" w:cs="宋体"/>
                <w:i w:val="0"/>
                <w:iCs w:val="0"/>
                <w:color w:val="000000"/>
                <w:sz w:val="22"/>
                <w:szCs w:val="22"/>
                <w:u w:val="none"/>
              </w:rPr>
            </w:pPr>
          </w:p>
        </w:tc>
        <w:tc>
          <w:tcPr>
            <w:tcW w:w="914"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4B1031B6">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1D69CAD4">
            <w:pPr>
              <w:jc w:val="center"/>
              <w:rPr>
                <w:rFonts w:hint="eastAsia" w:ascii="宋体" w:hAnsi="宋体" w:eastAsia="宋体" w:cs="宋体"/>
                <w:i w:val="0"/>
                <w:iCs w:val="0"/>
                <w:color w:val="000000"/>
                <w:sz w:val="22"/>
                <w:szCs w:val="22"/>
                <w:u w:val="none"/>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14:paraId="1531D2F5">
            <w:pPr>
              <w:jc w:val="center"/>
              <w:rPr>
                <w:rFonts w:hint="eastAsia" w:ascii="宋体" w:hAnsi="宋体" w:eastAsia="宋体" w:cs="宋体"/>
                <w:i w:val="0"/>
                <w:iCs w:val="0"/>
                <w:color w:val="000000"/>
                <w:sz w:val="22"/>
                <w:szCs w:val="22"/>
                <w:u w:val="none"/>
              </w:rPr>
            </w:pPr>
          </w:p>
        </w:tc>
      </w:tr>
      <w:tr w14:paraId="396C2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277"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000515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1696" w:type="pct"/>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39500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塔吊进出场、维修保养及安装、拆卸费用</w:t>
            </w:r>
          </w:p>
        </w:tc>
        <w:tc>
          <w:tcPr>
            <w:tcW w:w="465"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4C9233B9">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2台</w:t>
            </w:r>
          </w:p>
        </w:tc>
        <w:tc>
          <w:tcPr>
            <w:tcW w:w="4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5E08BD">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914" w:type="pct"/>
            <w:tcBorders>
              <w:top w:val="single" w:color="000000" w:sz="4" w:space="0"/>
              <w:left w:val="single" w:color="auto" w:sz="4" w:space="0"/>
              <w:bottom w:val="single" w:color="auto" w:sz="4" w:space="0"/>
              <w:right w:val="single" w:color="000000" w:sz="4" w:space="0"/>
            </w:tcBorders>
            <w:shd w:val="clear" w:color="auto" w:fill="auto"/>
            <w:noWrap/>
            <w:vAlign w:val="center"/>
          </w:tcPr>
          <w:p w14:paraId="433035F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p>
        </w:tc>
        <w:tc>
          <w:tcPr>
            <w:tcW w:w="545"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49112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478809">
            <w:pPr>
              <w:rPr>
                <w:rFonts w:hint="eastAsia" w:ascii="宋体" w:hAnsi="宋体" w:eastAsia="宋体" w:cs="宋体"/>
                <w:i w:val="0"/>
                <w:iCs w:val="0"/>
                <w:color w:val="000000"/>
                <w:sz w:val="22"/>
                <w:szCs w:val="22"/>
                <w:u w:val="none"/>
              </w:rPr>
            </w:pPr>
          </w:p>
        </w:tc>
      </w:tr>
      <w:tr w14:paraId="42AAF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7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D1A266">
            <w:pPr>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1696"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F3EA710">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施工电梯和物料提升机进出场、维修保养及安装、拆卸费用</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907122">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1台</w:t>
            </w:r>
          </w:p>
        </w:tc>
        <w:tc>
          <w:tcPr>
            <w:tcW w:w="4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3A0B10">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91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2E3C08">
            <w:pPr>
              <w:ind w:left="0" w:leftChars="0" w:firstLine="0" w:firstLineChars="0"/>
              <w:jc w:val="center"/>
              <w:rPr>
                <w:rFonts w:hint="eastAsia" w:ascii="宋体" w:hAnsi="宋体" w:eastAsia="宋体" w:cs="宋体"/>
                <w:i w:val="0"/>
                <w:iCs w:val="0"/>
                <w:color w:val="000000"/>
                <w:sz w:val="22"/>
                <w:szCs w:val="22"/>
                <w:u w:val="none"/>
              </w:rPr>
            </w:pPr>
          </w:p>
        </w:tc>
        <w:tc>
          <w:tcPr>
            <w:tcW w:w="5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3F8DDA">
            <w:pPr>
              <w:rPr>
                <w:rFonts w:hint="eastAsia" w:ascii="宋体" w:hAnsi="宋体" w:eastAsia="宋体" w:cs="宋体"/>
                <w:i w:val="0"/>
                <w:iCs w:val="0"/>
                <w:color w:val="000000"/>
                <w:sz w:val="22"/>
                <w:szCs w:val="22"/>
                <w:u w:val="none"/>
              </w:rPr>
            </w:pPr>
          </w:p>
        </w:tc>
        <w:tc>
          <w:tcPr>
            <w:tcW w:w="67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2CE2FB">
            <w:pPr>
              <w:rPr>
                <w:rFonts w:hint="eastAsia" w:ascii="宋体" w:hAnsi="宋体" w:eastAsia="宋体" w:cs="宋体"/>
                <w:i w:val="0"/>
                <w:iCs w:val="0"/>
                <w:color w:val="000000"/>
                <w:sz w:val="22"/>
                <w:szCs w:val="22"/>
                <w:u w:val="none"/>
              </w:rPr>
            </w:pPr>
          </w:p>
        </w:tc>
      </w:tr>
      <w:tr w14:paraId="4194C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27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08A436">
            <w:pPr>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3503"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B03437E">
            <w:pP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投标总报价</w:t>
            </w:r>
          </w:p>
        </w:tc>
        <w:tc>
          <w:tcPr>
            <w:tcW w:w="5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252A15">
            <w:pPr>
              <w:rPr>
                <w:rFonts w:hint="eastAsia" w:ascii="宋体" w:hAnsi="宋体" w:eastAsia="宋体" w:cs="宋体"/>
                <w:i w:val="0"/>
                <w:iCs w:val="0"/>
                <w:color w:val="000000"/>
                <w:sz w:val="22"/>
                <w:szCs w:val="22"/>
                <w:u w:val="none"/>
              </w:rPr>
            </w:pPr>
          </w:p>
        </w:tc>
        <w:tc>
          <w:tcPr>
            <w:tcW w:w="67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8E5846">
            <w:pPr>
              <w:rPr>
                <w:rFonts w:hint="eastAsia" w:ascii="宋体" w:hAnsi="宋体" w:eastAsia="宋体" w:cs="宋体"/>
                <w:i w:val="0"/>
                <w:iCs w:val="0"/>
                <w:color w:val="000000"/>
                <w:sz w:val="22"/>
                <w:szCs w:val="22"/>
                <w:u w:val="none"/>
              </w:rPr>
            </w:pPr>
          </w:p>
        </w:tc>
      </w:tr>
      <w:tr w14:paraId="62C54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322FA215">
            <w:pPr>
              <w:ind w:firstLine="210" w:firstLineChars="100"/>
              <w:rPr>
                <w:rFonts w:hint="eastAsia" w:ascii="宋体" w:hAnsi="宋体" w:eastAsia="宋体" w:cs="宋体"/>
                <w:i w:val="0"/>
                <w:iCs w:val="0"/>
                <w:color w:val="000000"/>
                <w:sz w:val="22"/>
                <w:szCs w:val="22"/>
                <w:u w:val="none"/>
              </w:rPr>
            </w:pPr>
            <w:r>
              <w:rPr>
                <w:rStyle w:val="25"/>
                <w:rFonts w:hint="eastAsia"/>
                <w:lang w:val="en-US" w:eastAsia="zh-CN" w:bidi="ar"/>
              </w:rPr>
              <w:t>供应商</w:t>
            </w:r>
            <w:r>
              <w:rPr>
                <w:rStyle w:val="25"/>
                <w:lang w:val="en-US" w:eastAsia="zh-CN" w:bidi="ar"/>
              </w:rPr>
              <w:t xml:space="preserve">：（章）   </w:t>
            </w:r>
            <w:r>
              <w:rPr>
                <w:rStyle w:val="25"/>
                <w:rFonts w:hint="eastAsia"/>
                <w:lang w:val="en-US" w:eastAsia="zh-CN" w:bidi="ar"/>
              </w:rPr>
              <w:t xml:space="preserve">   </w:t>
            </w:r>
            <w:r>
              <w:rPr>
                <w:rStyle w:val="25"/>
                <w:lang w:val="en-US" w:eastAsia="zh-CN" w:bidi="ar"/>
              </w:rPr>
              <w:t xml:space="preserve"> </w:t>
            </w:r>
            <w:r>
              <w:rPr>
                <w:rStyle w:val="25"/>
                <w:rFonts w:hint="eastAsia"/>
                <w:lang w:val="en-US" w:eastAsia="zh-CN" w:bidi="ar"/>
              </w:rPr>
              <w:t xml:space="preserve">      </w:t>
            </w:r>
            <w:r>
              <w:rPr>
                <w:rStyle w:val="25"/>
                <w:lang w:val="en-US" w:eastAsia="zh-CN" w:bidi="ar"/>
              </w:rPr>
              <w:t xml:space="preserve"> 法定代表人或授权委托人：</w:t>
            </w:r>
          </w:p>
        </w:tc>
      </w:tr>
      <w:tr w14:paraId="7FB64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615121CB">
            <w:pPr>
              <w:keepNext w:val="0"/>
              <w:keepLines w:val="0"/>
              <w:widowControl/>
              <w:numPr>
                <w:ilvl w:val="0"/>
                <w:numId w:val="0"/>
              </w:numPr>
              <w:suppressLineNumbers w:val="0"/>
              <w:ind w:leftChars="0" w:right="0" w:rightChars="0"/>
              <w:jc w:val="both"/>
              <w:textAlignment w:val="center"/>
              <w:rPr>
                <w:rStyle w:val="25"/>
                <w:rFonts w:hint="eastAsia"/>
                <w:b/>
                <w:bCs/>
                <w:lang w:val="en-US" w:eastAsia="zh-CN" w:bidi="ar"/>
              </w:rPr>
            </w:pPr>
            <w:r>
              <w:rPr>
                <w:rStyle w:val="25"/>
                <w:rFonts w:hint="eastAsia"/>
                <w:b/>
                <w:bCs/>
                <w:lang w:val="en-US" w:eastAsia="zh-CN" w:bidi="ar"/>
              </w:rPr>
              <w:t>注：</w:t>
            </w:r>
          </w:p>
          <w:p w14:paraId="4DE8CC3B">
            <w:pPr>
              <w:keepNext w:val="0"/>
              <w:keepLines w:val="0"/>
              <w:widowControl/>
              <w:numPr>
                <w:ilvl w:val="0"/>
                <w:numId w:val="0"/>
              </w:numPr>
              <w:suppressLineNumbers w:val="0"/>
              <w:ind w:right="0" w:rightChars="0"/>
              <w:jc w:val="both"/>
              <w:textAlignment w:val="center"/>
              <w:rPr>
                <w:rStyle w:val="25"/>
                <w:rFonts w:hint="eastAsia"/>
                <w:b/>
                <w:bCs/>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（1）层高2层；</w:t>
            </w:r>
          </w:p>
          <w:p w14:paraId="2922D421">
            <w:pPr>
              <w:keepNext w:val="0"/>
              <w:keepLines w:val="0"/>
              <w:widowControl/>
              <w:numPr>
                <w:ilvl w:val="0"/>
                <w:numId w:val="0"/>
              </w:numPr>
              <w:suppressLineNumbers w:val="0"/>
              <w:tabs>
                <w:tab w:val="left" w:pos="311"/>
              </w:tabs>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（2）供应商不能存在不均衡响应报价；</w:t>
            </w:r>
          </w:p>
          <w:p w14:paraId="7FBA1247">
            <w:pPr>
              <w:keepNext w:val="0"/>
              <w:keepLines w:val="0"/>
              <w:widowControl/>
              <w:numPr>
                <w:ilvl w:val="0"/>
                <w:numId w:val="0"/>
              </w:numPr>
              <w:suppressLineNumbers w:val="0"/>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（3）响应报价不能低于市场价，若低于市场价，采购人有权按照市场价进行调整；</w:t>
            </w:r>
          </w:p>
          <w:p w14:paraId="3D1755FE">
            <w:pPr>
              <w:keepNext w:val="0"/>
              <w:keepLines w:val="0"/>
              <w:widowControl/>
              <w:numPr>
                <w:ilvl w:val="0"/>
                <w:numId w:val="0"/>
              </w:numPr>
              <w:suppressLineNumbers w:val="0"/>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（4）因供应商特种工报价过低不愿意提供，采购人有权自行从市场采购，采购价格从中标人费用中扣除；</w:t>
            </w:r>
          </w:p>
          <w:p w14:paraId="1337AB32">
            <w:pPr>
              <w:ind w:left="0" w:leftChars="0" w:firstLine="0" w:firstLineChars="0"/>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（5）塔司、信号工工资按照24小时计算。</w:t>
            </w:r>
          </w:p>
          <w:p w14:paraId="1006205E">
            <w:pPr>
              <w:ind w:left="0" w:leftChars="0" w:firstLine="0" w:firstLineChars="0"/>
              <w:rPr>
                <w:rStyle w:val="25"/>
                <w:rFonts w:hint="default"/>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（6）</w:t>
            </w:r>
            <w:r>
              <w:rPr>
                <w:rFonts w:hint="eastAsia" w:ascii="宋体" w:hAnsi="宋体" w:eastAsia="宋体" w:cs="宋体"/>
                <w:b/>
                <w:bCs/>
                <w:i w:val="0"/>
                <w:iCs w:val="0"/>
                <w:color w:val="FF0000"/>
                <w:spacing w:val="0"/>
                <w:w w:val="100"/>
                <w:kern w:val="0"/>
                <w:position w:val="0"/>
                <w:sz w:val="28"/>
                <w:szCs w:val="28"/>
                <w:u w:val="none"/>
                <w:shd w:val="clear" w:color="auto" w:fill="auto"/>
                <w:lang w:val="en-US" w:eastAsia="zh-CN" w:bidi="ar"/>
              </w:rPr>
              <w:t>不足30日历天月份结算额=每月分项报价/30*实际天数。</w:t>
            </w:r>
          </w:p>
        </w:tc>
      </w:tr>
    </w:tbl>
    <w:p w14:paraId="577AC392">
      <w:pPr>
        <w:keepNext w:val="0"/>
        <w:keepLines w:val="0"/>
        <w:widowControl/>
        <w:numPr>
          <w:ilvl w:val="0"/>
          <w:numId w:val="0"/>
        </w:numPr>
        <w:suppressLineNumbers w:val="0"/>
        <w:shd w:val="clear" w:color="auto" w:fill="auto"/>
        <w:ind w:leftChars="0" w:right="0" w:rightChars="0"/>
        <w:jc w:val="both"/>
        <w:textAlignment w:val="center"/>
        <w:rPr>
          <w:rFonts w:hint="default"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（7）本合同为单价合同，单价控制价不超过如下标准：</w:t>
      </w:r>
    </w:p>
    <w:p w14:paraId="742FF4AE">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1、塔吊</w:t>
      </w:r>
    </w:p>
    <w:p w14:paraId="4B64E5A0">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（1）塔吊租赁费用最高限价：2.95万元/月/台（含1个塔司、1个信号工、1个司索工费用，含9%增值税）；</w:t>
      </w:r>
    </w:p>
    <w:p w14:paraId="392A91F4">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（2）塔吊进出场、维修保养及安装、拆卸、过程中截臂、费用最高限价：1.3万元/台（含9%增值税）；</w:t>
      </w:r>
    </w:p>
    <w:p w14:paraId="050BDEE3">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2、物料提升机</w:t>
      </w:r>
    </w:p>
    <w:p w14:paraId="152B6B5A">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（1）物料提升机租赁费最高限价：1万元/月/台（含1个司机，含9%增值税）；</w:t>
      </w:r>
    </w:p>
    <w:p w14:paraId="70AEF9F6">
      <w:pPr>
        <w:keepNext w:val="0"/>
        <w:keepLines w:val="0"/>
        <w:pageBreakBefore w:val="0"/>
        <w:widowControl w:val="0"/>
        <w:kinsoku/>
        <w:wordWrap/>
        <w:overflowPunct/>
        <w:topLinePunct w:val="0"/>
        <w:autoSpaceDE/>
        <w:autoSpaceDN/>
        <w:bidi w:val="0"/>
        <w:adjustRightInd/>
        <w:snapToGrid/>
        <w:spacing w:line="520" w:lineRule="exact"/>
        <w:ind w:firstLine="442" w:firstLineChars="200"/>
        <w:jc w:val="both"/>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（2）物料提升机进出场、维修保养及安装、拆卸、费用最高限价：0.5万元/台（含9%增值税）。</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bidi="ar-SA"/>
        </w:rPr>
        <w:t>二、</w:t>
      </w:r>
      <w:r>
        <w:rPr>
          <w:rFonts w:hint="eastAsia" w:asciiTheme="minorEastAsia" w:hAnsiTheme="minorEastAsia" w:eastAsiaTheme="minorEastAsia" w:cstheme="minorEastAsia"/>
          <w:kern w:val="2"/>
          <w:sz w:val="28"/>
          <w:szCs w:val="28"/>
          <w:highlight w:val="none"/>
          <w:lang w:val="en-US" w:eastAsia="zh-CN" w:bidi="ar-SA"/>
        </w:rPr>
        <w:t>采购人要求：</w:t>
      </w:r>
    </w:p>
    <w:p w14:paraId="710824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总承包合同及施工图纸范围内所表明的吊运工程（钢筋、模板、装配式构件、钢管、扣件等材料的吊运），包括不限于所租用塔机租赁费、进出场安装费包括安装、拆除、塔司、信号工、司索工（持特种工作业证、含24小时加班）、检测、报验、预埋螺栓、吊钩、牛鼻子、钢丝绳、吊物钢丝绳、装配式构件吊带、扶墙、塔吊照明安装、塔吊安全标识标牌、塔吊防攀爬措施、对讲机、专用配电箱及电缆、呼叫器、电缆、安全、维修保养等。</w:t>
      </w:r>
    </w:p>
    <w:p w14:paraId="568ACB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塔吊、物料提升机生产日期必须为近</w:t>
      </w:r>
      <w:r>
        <w:rPr>
          <w:rFonts w:hint="eastAsia" w:asciiTheme="minorEastAsia" w:hAnsiTheme="minorEastAsia" w:cstheme="minorEastAsia"/>
          <w:kern w:val="2"/>
          <w:sz w:val="28"/>
          <w:szCs w:val="28"/>
          <w:highlight w:val="none"/>
          <w:lang w:val="en-US" w:eastAsia="zh-CN"/>
        </w:rPr>
        <w:t>5</w:t>
      </w:r>
      <w:r>
        <w:rPr>
          <w:rFonts w:hint="eastAsia" w:asciiTheme="minorEastAsia" w:hAnsiTheme="minorEastAsia" w:eastAsiaTheme="minorEastAsia" w:cstheme="minorEastAsia"/>
          <w:kern w:val="2"/>
          <w:sz w:val="28"/>
          <w:szCs w:val="28"/>
          <w:highlight w:val="none"/>
          <w:lang w:val="en-US" w:eastAsia="zh-CN"/>
        </w:rPr>
        <w:t>年且提供购机发票、配备操作人员（人员必须持证上岗且证件在有限期内、含24小时加班）、包括不限于专用配电箱及电缆、楼层防护门及楼层呼叫器（含安装）、操作人员定型化防护棚、物料提升机的安装、拆除、进退场、检测、验收、施工方案编写审批、办理使用登记、过程中定期维保（需满足行业规范、监理单位、建设单位及当地主管部门的要求）、维修、大修、易损配件的定期更换、扶墙的安拆等。</w:t>
      </w:r>
    </w:p>
    <w:p w14:paraId="532BFE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2.设备要求：选用设备型号规格为：塔吊起重机数量2台，选用设备型号规格为：T（6515-8），起重臂65米及以上。物料提升机SC100-100  1台满足施工要求。所有租赁设备的产权必须为成交人所拥有，要求设备性能良好，安全装置齐全有效，能满足施工需要，成交人所提供机型需满足主管部门安全备案要求及相关安全规范。成交人必须具备相应塔式起重机拆装资质，或委托具备相应拆装资质的单位进行塔式起重机拆装作业。（以上设备生产日期为近</w:t>
      </w:r>
      <w:r>
        <w:rPr>
          <w:rFonts w:hint="eastAsia" w:asciiTheme="minorEastAsia" w:hAnsiTheme="minorEastAsia" w:cstheme="minorEastAsia"/>
          <w:kern w:val="2"/>
          <w:sz w:val="28"/>
          <w:szCs w:val="28"/>
          <w:highlight w:val="none"/>
          <w:lang w:val="en-US" w:eastAsia="zh-CN"/>
        </w:rPr>
        <w:t>5年</w:t>
      </w:r>
      <w:r>
        <w:rPr>
          <w:rFonts w:hint="eastAsia" w:asciiTheme="minorEastAsia" w:hAnsiTheme="minorEastAsia" w:eastAsiaTheme="minorEastAsia" w:cstheme="minorEastAsia"/>
          <w:kern w:val="2"/>
          <w:sz w:val="28"/>
          <w:szCs w:val="28"/>
          <w:highlight w:val="none"/>
          <w:lang w:val="en-US" w:eastAsia="zh-CN"/>
        </w:rPr>
        <w:t>且提供购机发票）</w:t>
      </w:r>
    </w:p>
    <w:p w14:paraId="712E2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3.因场地有限，采购人不提供工人生活区，由成交人自行解决，综合考虑在报价内。</w:t>
      </w:r>
    </w:p>
    <w:p w14:paraId="08DB144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4.施工过程中不得干扰附近居民的生产、生活，与地方发生的任何纠纷，成交人自行解决，给采购人造成的任何损失，采购人将追究成交人相关责任。</w:t>
      </w:r>
    </w:p>
    <w:p w14:paraId="2666CF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5.成交人必须按相关规定办理人身意外伤害险，办理本款保险的一切费用均由成交人承担，不单独计量；成交人进场后一个月内需将该保险保单提交采购人核查与备案，否则采购人将为其代为办理保险，发生费用直接从成交人应得工程款中扣除。</w:t>
      </w:r>
    </w:p>
    <w:p w14:paraId="030220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6.因建设单位原因出现停工、停建、变更等情况造成承包范围增减，采购人不承担任何责任。采购人有权对成交人施工范围做出调整。</w:t>
      </w:r>
    </w:p>
    <w:p w14:paraId="279290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7.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0481D5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8.成交人应充分熟悉当地环保等相关政策，成交人在报价过程中应充分考虑一切可能存在的风险，相关费用已包含在报价中。</w:t>
      </w:r>
    </w:p>
    <w:p w14:paraId="6D39AE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9.安全文明施工标准：责任伤亡事故为零，责任火灾、大型机械设备事故为零；各级测评、检查安全文明成绩合格并符合建设单位及主管部门相关要求。</w:t>
      </w:r>
    </w:p>
    <w:p w14:paraId="47F7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10.项目在实施过程中采购人会不定期对项目安全文明施工进行评审、验收，成交人对施工过程中存在问题进行整改，拒不整改的，由采购人派人员进行整改，费用从成交人工程款中扣除（若建设单位要求创优，则按照建设单位要求执行）。</w:t>
      </w:r>
    </w:p>
    <w:p w14:paraId="288B89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11.满足主管部门、建设单位、采购人的其他安全相关管理制度。</w:t>
      </w:r>
    </w:p>
    <w:p w14:paraId="3A83AA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注：为满足创标要求，现场机械设备，施工工具、器材单独存放，达不到采购人合同规定的安全质量标准，由此给采购人造成的经济处罚、名誉损失等一切责任，由成交人全部承担。</w:t>
      </w:r>
    </w:p>
    <w:p w14:paraId="22AB08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12.成交人须按照合同要求进行各项施工准备工作（包括但不限于施工范围的施工组织设计、施工计划及其他各项工程施工有关的管理方案、措施的编制）。如需组织专家论证，则此部分费用成交人须综合考虑入报价中。</w:t>
      </w:r>
    </w:p>
    <w:p w14:paraId="3437E3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13.成交人要配合其他专业分包施工，此部分费用成交人须综合考虑入报价中。</w:t>
      </w:r>
    </w:p>
    <w:p w14:paraId="75E2B0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4</w:t>
      </w:r>
      <w:r>
        <w:rPr>
          <w:rFonts w:hint="eastAsia" w:asciiTheme="minorEastAsia" w:hAnsiTheme="minorEastAsia" w:eastAsiaTheme="minorEastAsia" w:cstheme="minorEastAsia"/>
          <w:kern w:val="2"/>
          <w:sz w:val="28"/>
          <w:szCs w:val="28"/>
          <w:highlight w:val="none"/>
          <w:lang w:val="en-US" w:eastAsia="zh-CN"/>
        </w:rPr>
        <w:t>.租赁单位需配备专职维修人员驻场。</w:t>
      </w:r>
    </w:p>
    <w:p w14:paraId="54F376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5</w:t>
      </w:r>
      <w:r>
        <w:rPr>
          <w:rFonts w:hint="eastAsia" w:asciiTheme="minorEastAsia" w:hAnsiTheme="minorEastAsia" w:eastAsiaTheme="minorEastAsia" w:cstheme="minorEastAsia"/>
          <w:kern w:val="2"/>
          <w:sz w:val="28"/>
          <w:szCs w:val="28"/>
          <w:highlight w:val="none"/>
          <w:lang w:val="en-US" w:eastAsia="zh-CN"/>
        </w:rPr>
        <w:t>.发生机械故障后，乙方应于3小时内到现场，组织抢修；因故障及维修保养等原因造成的机械停用，每台设备每次不得超过6小时，每台设备每月累计不得超过24小时；每台设备每月累计停用时间在24~48h的，按照日租金扣除相应费用；每台设备每月累计停用时间超过48h的，按照日租金2倍扣除相应费用，且甲方有权追究因此造成的损失。</w:t>
      </w:r>
    </w:p>
    <w:p w14:paraId="2EFBA8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6</w:t>
      </w:r>
      <w:r>
        <w:rPr>
          <w:rFonts w:hint="eastAsia" w:asciiTheme="minorEastAsia" w:hAnsiTheme="minorEastAsia" w:eastAsiaTheme="minorEastAsia" w:cstheme="minorEastAsia"/>
          <w:kern w:val="2"/>
          <w:sz w:val="28"/>
          <w:szCs w:val="28"/>
          <w:highlight w:val="none"/>
          <w:lang w:val="en-US" w:eastAsia="zh-CN"/>
        </w:rPr>
        <w:t>.物料提升机平台要求：梯笼门使用翻板式，翻板式梯笼门必须使用花纹钢板作为踏板，踏板两侧设置防护栏杆。</w:t>
      </w:r>
    </w:p>
    <w:p w14:paraId="58D66F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7</w:t>
      </w:r>
      <w:r>
        <w:rPr>
          <w:rFonts w:hint="eastAsia" w:asciiTheme="minorEastAsia" w:hAnsiTheme="minorEastAsia" w:eastAsiaTheme="minorEastAsia" w:cstheme="minorEastAsia"/>
          <w:kern w:val="2"/>
          <w:sz w:val="28"/>
          <w:szCs w:val="28"/>
          <w:highlight w:val="none"/>
          <w:lang w:val="en-US" w:eastAsia="zh-CN"/>
        </w:rPr>
        <w:t>.过年期间、环保管控期间的停工及其他非采购人原因造成的停工，停工期间租赁费用不予计取。</w:t>
      </w:r>
    </w:p>
    <w:p w14:paraId="7AB482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8</w:t>
      </w:r>
      <w:r>
        <w:rPr>
          <w:rFonts w:hint="eastAsia" w:asciiTheme="minorEastAsia" w:hAnsiTheme="minorEastAsia" w:eastAsiaTheme="minorEastAsia" w:cstheme="minorEastAsia"/>
          <w:kern w:val="2"/>
          <w:sz w:val="28"/>
          <w:szCs w:val="28"/>
          <w:highlight w:val="none"/>
          <w:lang w:val="en-US" w:eastAsia="zh-CN"/>
        </w:rPr>
        <w:t>.成交后提供项目负责人1名，机械管理员1名。</w:t>
      </w:r>
    </w:p>
    <w:p w14:paraId="44FBA495">
      <w:pPr>
        <w:pStyle w:val="7"/>
        <w:rPr>
          <w:rFonts w:hint="default"/>
          <w:lang w:val="en-US" w:eastAsia="zh-CN"/>
        </w:rPr>
      </w:pPr>
    </w:p>
    <w:p w14:paraId="65D50D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53B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BF63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2B126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C02F2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7C7EB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E798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16595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DDAFC7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华佗中医药文化传承创新示范项目配套服务用房工程</w:t>
      </w: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2"/>
          <w:sz w:val="28"/>
          <w:szCs w:val="28"/>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起重设备工程专业分包 </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AHTKJS-2026-018号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2576"/>
      <w:bookmarkStart w:id="243" w:name="_Toc300835209"/>
      <w:bookmarkStart w:id="244" w:name="_Toc144974856"/>
      <w:bookmarkStart w:id="245" w:name="_Toc152045787"/>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5788"/>
      <w:bookmarkStart w:id="248" w:name="_Toc300835210"/>
      <w:bookmarkStart w:id="249" w:name="_Toc247527828"/>
      <w:bookmarkStart w:id="250" w:name="_Toc247514247"/>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300835212"/>
      <w:bookmarkStart w:id="255" w:name="_Toc144974859"/>
      <w:bookmarkStart w:id="256" w:name="_Toc247514249"/>
      <w:bookmarkStart w:id="257" w:name="_Toc15204257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华佗中医药文化传承创新示范项目配套服务用房工程起重设备工程专业分包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AHTKJS-2026-018号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计划工期：塔吊自采购人下达开工指令之日起4个月，物料提升机自采购人下达开工指令之日起2个月。（具体以实际使用时间为准），按合同约定完成本项目全部工作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247527831"/>
      <w:bookmarkStart w:id="261" w:name="_Toc152045791"/>
      <w:bookmarkStart w:id="262" w:name="_Toc247514283"/>
      <w:bookmarkStart w:id="263" w:name="_Toc300835213"/>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247527832"/>
      <w:bookmarkStart w:id="267" w:name="_Toc152045792"/>
      <w:bookmarkStart w:id="268" w:name="_Toc247514284"/>
      <w:bookmarkStart w:id="269" w:name="_Toc152042581"/>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52042583"/>
      <w:bookmarkStart w:id="273" w:name="_Toc300835216"/>
      <w:bookmarkStart w:id="274" w:name="_Toc247527834"/>
      <w:bookmarkStart w:id="275" w:name="_Toc144974862"/>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14287"/>
      <w:bookmarkStart w:id="280" w:name="_Toc152045795"/>
      <w:bookmarkStart w:id="281" w:name="_Toc300835218"/>
      <w:bookmarkStart w:id="282" w:name="_Toc144974863"/>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1"/>
        <w:gridCol w:w="2245"/>
        <w:gridCol w:w="1783"/>
        <w:gridCol w:w="712"/>
        <w:gridCol w:w="665"/>
        <w:gridCol w:w="1403"/>
        <w:gridCol w:w="808"/>
        <w:gridCol w:w="455"/>
      </w:tblGrid>
      <w:tr w14:paraId="744A6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88C8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23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CE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工作名称</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678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暂定量</w:t>
            </w:r>
          </w:p>
        </w:tc>
        <w:tc>
          <w:tcPr>
            <w:tcW w:w="390"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60B32F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时间（月）</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47A45">
            <w:pPr>
              <w:keepNext w:val="0"/>
              <w:keepLines w:val="0"/>
              <w:widowControl/>
              <w:suppressLineNumbers w:val="0"/>
              <w:tabs>
                <w:tab w:val="left" w:pos="605"/>
                <w:tab w:val="center" w:pos="1564"/>
              </w:tabs>
              <w:ind w:left="0" w:leftChars="0" w:firstLine="0" w:firstLineChars="0"/>
              <w:jc w:val="left"/>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单价报价（元/台/月）</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0E6F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总价（元）</w:t>
            </w: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53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57CC3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264" w:type="pct"/>
            <w:vMerge w:val="restart"/>
            <w:tcBorders>
              <w:top w:val="single" w:color="000000" w:sz="4" w:space="0"/>
              <w:left w:val="single" w:color="000000" w:sz="4" w:space="0"/>
              <w:right w:val="single" w:color="000000" w:sz="4" w:space="0"/>
            </w:tcBorders>
            <w:shd w:val="clear" w:color="auto" w:fill="auto"/>
            <w:noWrap/>
            <w:vAlign w:val="center"/>
          </w:tcPr>
          <w:p w14:paraId="607AD98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17" w:type="pct"/>
            <w:vMerge w:val="restart"/>
            <w:tcBorders>
              <w:top w:val="single" w:color="000000" w:sz="4" w:space="0"/>
              <w:left w:val="single" w:color="000000" w:sz="4" w:space="0"/>
              <w:right w:val="single" w:color="000000" w:sz="4" w:space="0"/>
            </w:tcBorders>
            <w:shd w:val="clear" w:color="auto" w:fill="auto"/>
            <w:vAlign w:val="center"/>
          </w:tcPr>
          <w:p w14:paraId="7206C9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塔吊租赁费用 （含1个塔吊司机、1个信号工、1个司索工）</w:t>
            </w:r>
          </w:p>
        </w:tc>
        <w:tc>
          <w:tcPr>
            <w:tcW w:w="1046" w:type="pct"/>
            <w:tcBorders>
              <w:top w:val="single" w:color="000000" w:sz="4" w:space="0"/>
              <w:left w:val="single" w:color="000000" w:sz="4" w:space="0"/>
              <w:right w:val="single" w:color="000000" w:sz="4" w:space="0"/>
            </w:tcBorders>
            <w:shd w:val="clear" w:color="auto" w:fill="auto"/>
            <w:vAlign w:val="center"/>
          </w:tcPr>
          <w:p w14:paraId="1E549276">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塔吊租赁费用</w:t>
            </w:r>
          </w:p>
        </w:tc>
        <w:tc>
          <w:tcPr>
            <w:tcW w:w="417" w:type="pct"/>
            <w:tcBorders>
              <w:top w:val="single" w:color="000000" w:sz="4" w:space="0"/>
              <w:left w:val="single" w:color="000000" w:sz="4" w:space="0"/>
              <w:right w:val="single" w:color="auto" w:sz="4" w:space="0"/>
            </w:tcBorders>
            <w:shd w:val="clear" w:color="auto" w:fill="auto"/>
            <w:noWrap/>
            <w:vAlign w:val="center"/>
          </w:tcPr>
          <w:p w14:paraId="6EBBEA2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2台</w:t>
            </w:r>
          </w:p>
        </w:tc>
        <w:tc>
          <w:tcPr>
            <w:tcW w:w="390" w:type="pct"/>
            <w:vMerge w:val="restart"/>
            <w:tcBorders>
              <w:top w:val="single" w:color="auto" w:sz="4" w:space="0"/>
              <w:left w:val="single" w:color="auto" w:sz="4" w:space="0"/>
              <w:right w:val="single" w:color="auto" w:sz="4" w:space="0"/>
            </w:tcBorders>
            <w:shd w:val="clear" w:color="auto" w:fill="auto"/>
            <w:noWrap/>
            <w:vAlign w:val="center"/>
          </w:tcPr>
          <w:p w14:paraId="189F17D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823" w:type="pct"/>
            <w:tcBorders>
              <w:top w:val="single" w:color="000000" w:sz="4" w:space="0"/>
              <w:left w:val="single" w:color="auto" w:sz="4" w:space="0"/>
              <w:right w:val="single" w:color="000000" w:sz="4" w:space="0"/>
            </w:tcBorders>
            <w:shd w:val="clear" w:color="auto" w:fill="auto"/>
            <w:noWrap/>
            <w:vAlign w:val="center"/>
          </w:tcPr>
          <w:p w14:paraId="14C06988">
            <w:pPr>
              <w:ind w:left="0" w:leftChars="0" w:firstLine="0" w:firstLineChars="0"/>
              <w:jc w:val="center"/>
              <w:rPr>
                <w:rFonts w:hint="eastAsia" w:ascii="宋体" w:hAnsi="宋体" w:eastAsia="宋体" w:cs="宋体"/>
                <w:i w:val="0"/>
                <w:iCs w:val="0"/>
                <w:color w:val="000000"/>
                <w:sz w:val="22"/>
                <w:szCs w:val="22"/>
                <w:u w:val="none"/>
                <w:lang w:val="en-US" w:eastAsia="zh-CN"/>
              </w:rPr>
            </w:pPr>
          </w:p>
        </w:tc>
        <w:tc>
          <w:tcPr>
            <w:tcW w:w="474" w:type="pct"/>
            <w:tcBorders>
              <w:top w:val="single" w:color="000000" w:sz="4" w:space="0"/>
              <w:left w:val="single" w:color="000000" w:sz="4" w:space="0"/>
              <w:right w:val="single" w:color="000000" w:sz="4" w:space="0"/>
            </w:tcBorders>
            <w:shd w:val="clear" w:color="auto" w:fill="auto"/>
            <w:noWrap/>
            <w:vAlign w:val="center"/>
          </w:tcPr>
          <w:p w14:paraId="29D84D13">
            <w:pPr>
              <w:jc w:val="center"/>
              <w:rPr>
                <w:rFonts w:hint="eastAsia" w:ascii="宋体" w:hAnsi="宋体" w:eastAsia="宋体" w:cs="宋体"/>
                <w:i w:val="0"/>
                <w:iCs w:val="0"/>
                <w:color w:val="000000"/>
                <w:sz w:val="22"/>
                <w:szCs w:val="22"/>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89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6F0B8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64" w:type="pct"/>
            <w:vMerge w:val="continue"/>
            <w:tcBorders>
              <w:left w:val="single" w:color="000000" w:sz="4" w:space="0"/>
              <w:right w:val="single" w:color="000000" w:sz="4" w:space="0"/>
            </w:tcBorders>
            <w:shd w:val="clear" w:color="auto" w:fill="auto"/>
            <w:noWrap/>
            <w:vAlign w:val="center"/>
          </w:tcPr>
          <w:p w14:paraId="22792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7" w:type="pct"/>
            <w:vMerge w:val="continue"/>
            <w:tcBorders>
              <w:left w:val="single" w:color="000000" w:sz="4" w:space="0"/>
              <w:right w:val="single" w:color="000000" w:sz="4" w:space="0"/>
            </w:tcBorders>
            <w:shd w:val="clear" w:color="auto" w:fill="auto"/>
            <w:noWrap/>
            <w:vAlign w:val="center"/>
          </w:tcPr>
          <w:p w14:paraId="4D526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A08B">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塔吊司机</w:t>
            </w:r>
          </w:p>
        </w:tc>
        <w:tc>
          <w:tcPr>
            <w:tcW w:w="417"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169E7646">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390" w:type="pct"/>
            <w:vMerge w:val="continue"/>
            <w:tcBorders>
              <w:left w:val="single" w:color="auto" w:sz="4" w:space="0"/>
              <w:right w:val="single" w:color="auto" w:sz="4" w:space="0"/>
            </w:tcBorders>
            <w:shd w:val="clear" w:color="auto" w:fill="auto"/>
            <w:noWrap/>
            <w:vAlign w:val="center"/>
          </w:tcPr>
          <w:p w14:paraId="77B43AD3">
            <w:pPr>
              <w:jc w:val="center"/>
              <w:rPr>
                <w:rFonts w:hint="eastAsia" w:ascii="宋体" w:hAnsi="宋体" w:eastAsia="宋体" w:cs="宋体"/>
                <w:i w:val="0"/>
                <w:iCs w:val="0"/>
                <w:color w:val="000000"/>
                <w:sz w:val="22"/>
                <w:szCs w:val="22"/>
                <w:u w:val="none"/>
              </w:rPr>
            </w:pPr>
          </w:p>
        </w:tc>
        <w:tc>
          <w:tcPr>
            <w:tcW w:w="823"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08683829">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46F71">
            <w:pPr>
              <w:jc w:val="center"/>
              <w:rPr>
                <w:rFonts w:hint="eastAsia" w:ascii="宋体" w:hAnsi="宋体" w:eastAsia="宋体" w:cs="宋体"/>
                <w:i w:val="0"/>
                <w:iCs w:val="0"/>
                <w:color w:val="000000"/>
                <w:sz w:val="22"/>
                <w:szCs w:val="22"/>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DD9CA">
            <w:pPr>
              <w:jc w:val="center"/>
              <w:rPr>
                <w:rFonts w:hint="eastAsia" w:ascii="宋体" w:hAnsi="宋体" w:eastAsia="宋体" w:cs="宋体"/>
                <w:i w:val="0"/>
                <w:iCs w:val="0"/>
                <w:color w:val="000000"/>
                <w:sz w:val="22"/>
                <w:szCs w:val="22"/>
                <w:u w:val="none"/>
              </w:rPr>
            </w:pPr>
          </w:p>
        </w:tc>
      </w:tr>
      <w:tr w14:paraId="3A2B8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64" w:type="pct"/>
            <w:vMerge w:val="continue"/>
            <w:tcBorders>
              <w:left w:val="single" w:color="000000" w:sz="4" w:space="0"/>
              <w:right w:val="single" w:color="000000" w:sz="4" w:space="0"/>
            </w:tcBorders>
            <w:shd w:val="clear" w:color="auto" w:fill="auto"/>
            <w:noWrap/>
            <w:vAlign w:val="center"/>
          </w:tcPr>
          <w:p w14:paraId="7DF54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7" w:type="pct"/>
            <w:vMerge w:val="continue"/>
            <w:tcBorders>
              <w:left w:val="single" w:color="000000" w:sz="4" w:space="0"/>
              <w:right w:val="single" w:color="000000" w:sz="4" w:space="0"/>
            </w:tcBorders>
            <w:shd w:val="clear" w:color="auto" w:fill="auto"/>
            <w:noWrap/>
            <w:vAlign w:val="center"/>
          </w:tcPr>
          <w:p w14:paraId="727A7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0967">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信号工</w:t>
            </w:r>
          </w:p>
        </w:tc>
        <w:tc>
          <w:tcPr>
            <w:tcW w:w="417"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40D70C9E">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390" w:type="pct"/>
            <w:vMerge w:val="continue"/>
            <w:tcBorders>
              <w:left w:val="single" w:color="auto" w:sz="4" w:space="0"/>
              <w:right w:val="single" w:color="auto" w:sz="4" w:space="0"/>
            </w:tcBorders>
            <w:shd w:val="clear" w:color="auto" w:fill="auto"/>
            <w:noWrap/>
            <w:vAlign w:val="center"/>
          </w:tcPr>
          <w:p w14:paraId="63AB1A55">
            <w:pPr>
              <w:jc w:val="center"/>
              <w:rPr>
                <w:rFonts w:hint="eastAsia" w:ascii="宋体" w:hAnsi="宋体" w:eastAsia="宋体" w:cs="宋体"/>
                <w:i w:val="0"/>
                <w:iCs w:val="0"/>
                <w:color w:val="000000"/>
                <w:sz w:val="22"/>
                <w:szCs w:val="22"/>
                <w:u w:val="none"/>
              </w:rPr>
            </w:pPr>
          </w:p>
        </w:tc>
        <w:tc>
          <w:tcPr>
            <w:tcW w:w="823"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1C9558DE">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A62C3">
            <w:pPr>
              <w:jc w:val="center"/>
              <w:rPr>
                <w:rFonts w:hint="eastAsia" w:ascii="宋体" w:hAnsi="宋体" w:eastAsia="宋体" w:cs="宋体"/>
                <w:i w:val="0"/>
                <w:iCs w:val="0"/>
                <w:color w:val="000000"/>
                <w:sz w:val="22"/>
                <w:szCs w:val="22"/>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4F1F0">
            <w:pPr>
              <w:jc w:val="center"/>
              <w:rPr>
                <w:rFonts w:hint="eastAsia" w:ascii="宋体" w:hAnsi="宋体" w:eastAsia="宋体" w:cs="宋体"/>
                <w:i w:val="0"/>
                <w:iCs w:val="0"/>
                <w:color w:val="000000"/>
                <w:sz w:val="22"/>
                <w:szCs w:val="22"/>
                <w:u w:val="none"/>
              </w:rPr>
            </w:pPr>
          </w:p>
        </w:tc>
      </w:tr>
      <w:tr w14:paraId="062F2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64" w:type="pct"/>
            <w:vMerge w:val="continue"/>
            <w:tcBorders>
              <w:left w:val="single" w:color="000000" w:sz="4" w:space="0"/>
              <w:bottom w:val="nil"/>
              <w:right w:val="single" w:color="000000" w:sz="4" w:space="0"/>
            </w:tcBorders>
            <w:shd w:val="clear" w:color="auto" w:fill="auto"/>
            <w:noWrap/>
            <w:vAlign w:val="center"/>
          </w:tcPr>
          <w:p w14:paraId="1458E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7" w:type="pct"/>
            <w:vMerge w:val="continue"/>
            <w:tcBorders>
              <w:left w:val="single" w:color="000000" w:sz="4" w:space="0"/>
              <w:bottom w:val="single" w:color="000000" w:sz="4" w:space="0"/>
              <w:right w:val="single" w:color="000000" w:sz="4" w:space="0"/>
            </w:tcBorders>
            <w:shd w:val="clear" w:color="auto" w:fill="auto"/>
            <w:noWrap/>
            <w:vAlign w:val="center"/>
          </w:tcPr>
          <w:p w14:paraId="2505B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4750">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司索工</w:t>
            </w:r>
          </w:p>
        </w:tc>
        <w:tc>
          <w:tcPr>
            <w:tcW w:w="417"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78D87E66">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2人</w:t>
            </w:r>
          </w:p>
        </w:tc>
        <w:tc>
          <w:tcPr>
            <w:tcW w:w="390" w:type="pct"/>
            <w:vMerge w:val="continue"/>
            <w:tcBorders>
              <w:left w:val="single" w:color="auto" w:sz="4" w:space="0"/>
              <w:bottom w:val="single" w:color="auto" w:sz="4" w:space="0"/>
              <w:right w:val="single" w:color="auto" w:sz="4" w:space="0"/>
            </w:tcBorders>
            <w:shd w:val="clear" w:color="auto" w:fill="auto"/>
            <w:noWrap/>
            <w:vAlign w:val="center"/>
          </w:tcPr>
          <w:p w14:paraId="0885F95D">
            <w:pPr>
              <w:jc w:val="center"/>
              <w:rPr>
                <w:rFonts w:hint="eastAsia" w:ascii="宋体" w:hAnsi="宋体" w:eastAsia="宋体" w:cs="宋体"/>
                <w:i w:val="0"/>
                <w:iCs w:val="0"/>
                <w:color w:val="000000"/>
                <w:sz w:val="22"/>
                <w:szCs w:val="22"/>
                <w:u w:val="none"/>
              </w:rPr>
            </w:pPr>
          </w:p>
        </w:tc>
        <w:tc>
          <w:tcPr>
            <w:tcW w:w="823"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1722E671">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C8A50">
            <w:pPr>
              <w:jc w:val="center"/>
              <w:rPr>
                <w:rFonts w:hint="eastAsia" w:ascii="宋体" w:hAnsi="宋体" w:eastAsia="宋体" w:cs="宋体"/>
                <w:i w:val="0"/>
                <w:iCs w:val="0"/>
                <w:color w:val="000000"/>
                <w:sz w:val="22"/>
                <w:szCs w:val="22"/>
                <w:u w:val="none"/>
              </w:rPr>
            </w:pPr>
          </w:p>
        </w:tc>
        <w:tc>
          <w:tcPr>
            <w:tcW w:w="266" w:type="pct"/>
            <w:tcBorders>
              <w:top w:val="single" w:color="000000" w:sz="4" w:space="0"/>
              <w:left w:val="single" w:color="000000" w:sz="4" w:space="0"/>
              <w:bottom w:val="single" w:color="auto" w:sz="4" w:space="0"/>
              <w:right w:val="single" w:color="000000" w:sz="4" w:space="0"/>
            </w:tcBorders>
            <w:shd w:val="clear" w:color="auto" w:fill="auto"/>
            <w:vAlign w:val="center"/>
          </w:tcPr>
          <w:p w14:paraId="3B32EB33">
            <w:pPr>
              <w:jc w:val="center"/>
              <w:rPr>
                <w:rFonts w:hint="eastAsia" w:ascii="宋体" w:hAnsi="宋体" w:eastAsia="宋体" w:cs="宋体"/>
                <w:i w:val="0"/>
                <w:iCs w:val="0"/>
                <w:color w:val="000000"/>
                <w:sz w:val="22"/>
                <w:szCs w:val="22"/>
                <w:u w:val="none"/>
              </w:rPr>
            </w:pPr>
          </w:p>
        </w:tc>
      </w:tr>
      <w:tr w14:paraId="69180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64" w:type="pct"/>
            <w:vMerge w:val="restart"/>
            <w:tcBorders>
              <w:top w:val="single" w:color="000000" w:sz="4" w:space="0"/>
              <w:left w:val="single" w:color="000000" w:sz="4" w:space="0"/>
              <w:right w:val="single" w:color="000000" w:sz="4" w:space="0"/>
            </w:tcBorders>
            <w:shd w:val="clear" w:color="auto" w:fill="auto"/>
            <w:noWrap/>
            <w:vAlign w:val="center"/>
          </w:tcPr>
          <w:p w14:paraId="733FBF2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1317" w:type="pct"/>
            <w:vMerge w:val="restart"/>
            <w:tcBorders>
              <w:top w:val="single" w:color="000000" w:sz="4" w:space="0"/>
              <w:left w:val="single" w:color="000000" w:sz="4" w:space="0"/>
              <w:right w:val="single" w:color="000000" w:sz="4" w:space="0"/>
            </w:tcBorders>
            <w:shd w:val="clear" w:color="auto" w:fill="auto"/>
            <w:noWrap/>
            <w:vAlign w:val="center"/>
          </w:tcPr>
          <w:p w14:paraId="45C90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物料提升机租赁费      （含1个司机）</w:t>
            </w:r>
          </w:p>
        </w:tc>
        <w:tc>
          <w:tcPr>
            <w:tcW w:w="1046" w:type="pct"/>
            <w:tcBorders>
              <w:top w:val="single" w:color="000000" w:sz="4" w:space="0"/>
              <w:left w:val="single" w:color="000000" w:sz="4" w:space="0"/>
              <w:right w:val="single" w:color="000000" w:sz="4" w:space="0"/>
            </w:tcBorders>
            <w:shd w:val="clear" w:color="auto" w:fill="auto"/>
            <w:noWrap/>
            <w:vAlign w:val="center"/>
          </w:tcPr>
          <w:p w14:paraId="2C5B75D0">
            <w:pPr>
              <w:keepNext w:val="0"/>
              <w:keepLines w:val="0"/>
              <w:widowControl/>
              <w:suppressLineNumbers w:val="0"/>
              <w:jc w:val="both"/>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料提升机租赁费</w:t>
            </w:r>
          </w:p>
        </w:tc>
        <w:tc>
          <w:tcPr>
            <w:tcW w:w="417" w:type="pct"/>
            <w:tcBorders>
              <w:top w:val="single" w:color="000000" w:sz="4" w:space="0"/>
              <w:left w:val="single" w:color="000000" w:sz="4" w:space="0"/>
              <w:right w:val="single" w:color="auto" w:sz="4" w:space="0"/>
            </w:tcBorders>
            <w:shd w:val="clear" w:color="auto" w:fill="auto"/>
            <w:noWrap/>
            <w:vAlign w:val="center"/>
          </w:tcPr>
          <w:p w14:paraId="5381306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1台</w:t>
            </w:r>
          </w:p>
        </w:tc>
        <w:tc>
          <w:tcPr>
            <w:tcW w:w="390" w:type="pct"/>
            <w:vMerge w:val="restart"/>
            <w:tcBorders>
              <w:top w:val="single" w:color="auto" w:sz="4" w:space="0"/>
              <w:left w:val="single" w:color="auto" w:sz="4" w:space="0"/>
              <w:right w:val="single" w:color="auto" w:sz="4" w:space="0"/>
            </w:tcBorders>
            <w:shd w:val="clear" w:color="auto" w:fill="auto"/>
            <w:noWrap/>
            <w:vAlign w:val="center"/>
          </w:tcPr>
          <w:p w14:paraId="514A844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823" w:type="pct"/>
            <w:tcBorders>
              <w:top w:val="single" w:color="000000" w:sz="4" w:space="0"/>
              <w:left w:val="single" w:color="auto" w:sz="4" w:space="0"/>
              <w:right w:val="single" w:color="000000" w:sz="4" w:space="0"/>
            </w:tcBorders>
            <w:shd w:val="clear" w:color="auto" w:fill="auto"/>
            <w:noWrap/>
            <w:vAlign w:val="center"/>
          </w:tcPr>
          <w:p w14:paraId="10C9399B">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000000" w:sz="4" w:space="0"/>
              <w:left w:val="single" w:color="000000" w:sz="4" w:space="0"/>
              <w:right w:val="single" w:color="auto" w:sz="4" w:space="0"/>
            </w:tcBorders>
            <w:shd w:val="clear" w:color="auto" w:fill="auto"/>
            <w:noWrap/>
            <w:vAlign w:val="center"/>
          </w:tcPr>
          <w:p w14:paraId="65D29FFB">
            <w:pPr>
              <w:jc w:val="center"/>
              <w:rPr>
                <w:rFonts w:hint="eastAsia" w:ascii="宋体" w:hAnsi="宋体" w:eastAsia="宋体" w:cs="宋体"/>
                <w:i w:val="0"/>
                <w:iCs w:val="0"/>
                <w:color w:val="000000"/>
                <w:sz w:val="22"/>
                <w:szCs w:val="22"/>
                <w:u w:val="none"/>
              </w:rPr>
            </w:pPr>
          </w:p>
        </w:tc>
        <w:tc>
          <w:tcPr>
            <w:tcW w:w="2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C94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B47E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264" w:type="pct"/>
            <w:vMerge w:val="continue"/>
            <w:tcBorders>
              <w:left w:val="single" w:color="000000" w:sz="4" w:space="0"/>
              <w:bottom w:val="single" w:color="000000" w:sz="4" w:space="0"/>
              <w:right w:val="single" w:color="000000" w:sz="4" w:space="0"/>
            </w:tcBorders>
            <w:shd w:val="clear" w:color="auto" w:fill="auto"/>
            <w:noWrap/>
            <w:vAlign w:val="center"/>
          </w:tcPr>
          <w:p w14:paraId="535FB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7" w:type="pct"/>
            <w:vMerge w:val="continue"/>
            <w:tcBorders>
              <w:left w:val="single" w:color="000000" w:sz="4" w:space="0"/>
              <w:bottom w:val="single" w:color="000000" w:sz="4" w:space="0"/>
              <w:right w:val="single" w:color="000000" w:sz="4" w:space="0"/>
            </w:tcBorders>
            <w:shd w:val="clear" w:color="auto" w:fill="auto"/>
            <w:noWrap/>
            <w:vAlign w:val="center"/>
          </w:tcPr>
          <w:p w14:paraId="20888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BFAEE">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司机</w:t>
            </w:r>
          </w:p>
        </w:tc>
        <w:tc>
          <w:tcPr>
            <w:tcW w:w="417"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7B14E22F">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1人</w:t>
            </w:r>
          </w:p>
        </w:tc>
        <w:tc>
          <w:tcPr>
            <w:tcW w:w="390" w:type="pct"/>
            <w:vMerge w:val="continue"/>
            <w:tcBorders>
              <w:left w:val="single" w:color="auto" w:sz="4" w:space="0"/>
              <w:bottom w:val="single" w:color="auto" w:sz="4" w:space="0"/>
              <w:right w:val="single" w:color="auto" w:sz="4" w:space="0"/>
            </w:tcBorders>
            <w:shd w:val="clear" w:color="auto" w:fill="auto"/>
            <w:noWrap/>
            <w:vAlign w:val="center"/>
          </w:tcPr>
          <w:p w14:paraId="4FD6355C">
            <w:pPr>
              <w:jc w:val="center"/>
              <w:rPr>
                <w:rFonts w:hint="eastAsia" w:ascii="宋体" w:hAnsi="宋体" w:eastAsia="宋体" w:cs="宋体"/>
                <w:i w:val="0"/>
                <w:iCs w:val="0"/>
                <w:color w:val="000000"/>
                <w:sz w:val="22"/>
                <w:szCs w:val="22"/>
                <w:u w:val="none"/>
              </w:rPr>
            </w:pPr>
          </w:p>
        </w:tc>
        <w:tc>
          <w:tcPr>
            <w:tcW w:w="823"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5808B24D">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2629032E">
            <w:pPr>
              <w:jc w:val="center"/>
              <w:rPr>
                <w:rFonts w:hint="eastAsia" w:ascii="宋体" w:hAnsi="宋体" w:eastAsia="宋体" w:cs="宋体"/>
                <w:i w:val="0"/>
                <w:iCs w:val="0"/>
                <w:color w:val="000000"/>
                <w:sz w:val="22"/>
                <w:szCs w:val="22"/>
                <w:u w:val="none"/>
              </w:rPr>
            </w:pPr>
          </w:p>
        </w:tc>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14:paraId="3EC686F4">
            <w:pPr>
              <w:jc w:val="center"/>
              <w:rPr>
                <w:rFonts w:hint="eastAsia" w:ascii="宋体" w:hAnsi="宋体" w:eastAsia="宋体" w:cs="宋体"/>
                <w:i w:val="0"/>
                <w:iCs w:val="0"/>
                <w:color w:val="000000"/>
                <w:sz w:val="22"/>
                <w:szCs w:val="22"/>
                <w:u w:val="none"/>
              </w:rPr>
            </w:pPr>
          </w:p>
        </w:tc>
      </w:tr>
      <w:tr w14:paraId="2E278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264"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271153C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2363" w:type="pct"/>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6CEDC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塔吊进出场、维修保养及安装、拆卸费用</w:t>
            </w:r>
          </w:p>
        </w:tc>
        <w:tc>
          <w:tcPr>
            <w:tcW w:w="417"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45582D98">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2台</w:t>
            </w:r>
          </w:p>
        </w:tc>
        <w:tc>
          <w:tcPr>
            <w:tcW w:w="3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D88BE7">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823" w:type="pct"/>
            <w:tcBorders>
              <w:top w:val="single" w:color="000000" w:sz="4" w:space="0"/>
              <w:left w:val="single" w:color="auto" w:sz="4" w:space="0"/>
              <w:bottom w:val="single" w:color="auto" w:sz="4" w:space="0"/>
              <w:right w:val="single" w:color="000000" w:sz="4" w:space="0"/>
            </w:tcBorders>
            <w:shd w:val="clear" w:color="auto" w:fill="auto"/>
            <w:noWrap/>
            <w:vAlign w:val="center"/>
          </w:tcPr>
          <w:p w14:paraId="318D55A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p>
        </w:tc>
        <w:tc>
          <w:tcPr>
            <w:tcW w:w="474"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0D21A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72362E">
            <w:pPr>
              <w:rPr>
                <w:rFonts w:hint="eastAsia" w:ascii="宋体" w:hAnsi="宋体" w:eastAsia="宋体" w:cs="宋体"/>
                <w:i w:val="0"/>
                <w:iCs w:val="0"/>
                <w:color w:val="000000"/>
                <w:sz w:val="22"/>
                <w:szCs w:val="22"/>
                <w:u w:val="none"/>
              </w:rPr>
            </w:pPr>
          </w:p>
        </w:tc>
      </w:tr>
      <w:tr w14:paraId="4DE83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574EC3">
            <w:pPr>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36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4ABEB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施工电梯和物料提升机进出场、维修保养及安装、拆卸费用</w:t>
            </w:r>
          </w:p>
        </w:tc>
        <w:tc>
          <w:tcPr>
            <w:tcW w:w="4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1D8B2F">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1台</w:t>
            </w:r>
          </w:p>
        </w:tc>
        <w:tc>
          <w:tcPr>
            <w:tcW w:w="3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718A39">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8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2CDC93">
            <w:pPr>
              <w:ind w:left="0" w:leftChars="0" w:firstLine="0" w:firstLineChars="0"/>
              <w:jc w:val="center"/>
              <w:rPr>
                <w:rFonts w:hint="eastAsia" w:ascii="宋体" w:hAnsi="宋体" w:eastAsia="宋体" w:cs="宋体"/>
                <w:i w:val="0"/>
                <w:iCs w:val="0"/>
                <w:color w:val="000000"/>
                <w:sz w:val="22"/>
                <w:szCs w:val="22"/>
                <w:u w:val="none"/>
              </w:rPr>
            </w:pPr>
          </w:p>
        </w:tc>
        <w:tc>
          <w:tcPr>
            <w:tcW w:w="4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4EBB59">
            <w:pPr>
              <w:rPr>
                <w:rFonts w:hint="eastAsia" w:ascii="宋体" w:hAnsi="宋体" w:eastAsia="宋体" w:cs="宋体"/>
                <w:i w:val="0"/>
                <w:iCs w:val="0"/>
                <w:color w:val="000000"/>
                <w:sz w:val="22"/>
                <w:szCs w:val="22"/>
                <w:u w:val="none"/>
              </w:rPr>
            </w:pPr>
          </w:p>
        </w:tc>
        <w:tc>
          <w:tcPr>
            <w:tcW w:w="2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273B5E">
            <w:pPr>
              <w:rPr>
                <w:rFonts w:hint="eastAsia" w:ascii="宋体" w:hAnsi="宋体" w:eastAsia="宋体" w:cs="宋体"/>
                <w:i w:val="0"/>
                <w:iCs w:val="0"/>
                <w:color w:val="000000"/>
                <w:sz w:val="22"/>
                <w:szCs w:val="22"/>
                <w:u w:val="none"/>
              </w:rPr>
            </w:pPr>
          </w:p>
        </w:tc>
      </w:tr>
      <w:tr w14:paraId="7B2E0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2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7D9996">
            <w:pPr>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3994"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F95CC1B">
            <w:pP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总报价</w:t>
            </w:r>
          </w:p>
        </w:tc>
        <w:tc>
          <w:tcPr>
            <w:tcW w:w="4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DF05DB">
            <w:pPr>
              <w:rPr>
                <w:rFonts w:hint="eastAsia" w:ascii="宋体" w:hAnsi="宋体" w:eastAsia="宋体" w:cs="宋体"/>
                <w:i w:val="0"/>
                <w:iCs w:val="0"/>
                <w:color w:val="000000"/>
                <w:sz w:val="22"/>
                <w:szCs w:val="22"/>
                <w:u w:val="none"/>
              </w:rPr>
            </w:pPr>
          </w:p>
        </w:tc>
        <w:tc>
          <w:tcPr>
            <w:tcW w:w="2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257C70">
            <w:pPr>
              <w:rPr>
                <w:rFonts w:hint="eastAsia" w:ascii="宋体" w:hAnsi="宋体" w:eastAsia="宋体" w:cs="宋体"/>
                <w:i w:val="0"/>
                <w:iCs w:val="0"/>
                <w:color w:val="000000"/>
                <w:sz w:val="22"/>
                <w:szCs w:val="22"/>
                <w:u w:val="none"/>
              </w:rPr>
            </w:pPr>
          </w:p>
        </w:tc>
      </w:tr>
      <w:tr w14:paraId="0D3C9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54C62E02">
            <w:pPr>
              <w:ind w:firstLine="210" w:firstLineChars="100"/>
              <w:rPr>
                <w:rFonts w:hint="eastAsia" w:ascii="宋体" w:hAnsi="宋体" w:eastAsia="宋体" w:cs="宋体"/>
                <w:i w:val="0"/>
                <w:iCs w:val="0"/>
                <w:color w:val="000000"/>
                <w:sz w:val="22"/>
                <w:szCs w:val="22"/>
                <w:u w:val="none"/>
              </w:rPr>
            </w:pPr>
            <w:r>
              <w:rPr>
                <w:rStyle w:val="25"/>
                <w:rFonts w:hint="eastAsia"/>
                <w:lang w:val="en-US" w:eastAsia="zh-CN" w:bidi="ar"/>
              </w:rPr>
              <w:t>供应商</w:t>
            </w:r>
            <w:r>
              <w:rPr>
                <w:rStyle w:val="25"/>
                <w:lang w:val="en-US" w:eastAsia="zh-CN" w:bidi="ar"/>
              </w:rPr>
              <w:t xml:space="preserve">：（章）   </w:t>
            </w:r>
            <w:r>
              <w:rPr>
                <w:rStyle w:val="25"/>
                <w:rFonts w:hint="eastAsia"/>
                <w:lang w:val="en-US" w:eastAsia="zh-CN" w:bidi="ar"/>
              </w:rPr>
              <w:t xml:space="preserve">   </w:t>
            </w:r>
            <w:r>
              <w:rPr>
                <w:rStyle w:val="25"/>
                <w:lang w:val="en-US" w:eastAsia="zh-CN" w:bidi="ar"/>
              </w:rPr>
              <w:t xml:space="preserve"> </w:t>
            </w:r>
            <w:r>
              <w:rPr>
                <w:rStyle w:val="25"/>
                <w:rFonts w:hint="eastAsia"/>
                <w:lang w:val="en-US" w:eastAsia="zh-CN" w:bidi="ar"/>
              </w:rPr>
              <w:t xml:space="preserve">      </w:t>
            </w:r>
            <w:r>
              <w:rPr>
                <w:rStyle w:val="25"/>
                <w:lang w:val="en-US" w:eastAsia="zh-CN" w:bidi="ar"/>
              </w:rPr>
              <w:t xml:space="preserve"> 法定代表人或授权委托人：</w:t>
            </w:r>
          </w:p>
        </w:tc>
      </w:tr>
      <w:tr w14:paraId="423A9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70F500E6">
            <w:pPr>
              <w:keepNext w:val="0"/>
              <w:keepLines w:val="0"/>
              <w:widowControl/>
              <w:numPr>
                <w:ilvl w:val="0"/>
                <w:numId w:val="0"/>
              </w:numPr>
              <w:suppressLineNumbers w:val="0"/>
              <w:ind w:leftChars="0" w:right="0" w:rightChars="0"/>
              <w:jc w:val="both"/>
              <w:textAlignment w:val="center"/>
              <w:rPr>
                <w:rStyle w:val="25"/>
                <w:rFonts w:hint="eastAsia"/>
                <w:b/>
                <w:bCs/>
                <w:lang w:val="en-US" w:eastAsia="zh-CN" w:bidi="ar"/>
              </w:rPr>
            </w:pPr>
            <w:r>
              <w:rPr>
                <w:rStyle w:val="25"/>
                <w:rFonts w:hint="eastAsia"/>
                <w:b/>
                <w:bCs/>
                <w:lang w:val="en-US" w:eastAsia="zh-CN" w:bidi="ar"/>
              </w:rPr>
              <w:t>注：</w:t>
            </w:r>
          </w:p>
          <w:p w14:paraId="67F82640">
            <w:pPr>
              <w:keepNext w:val="0"/>
              <w:keepLines w:val="0"/>
              <w:widowControl/>
              <w:numPr>
                <w:ilvl w:val="0"/>
                <w:numId w:val="0"/>
              </w:numPr>
              <w:suppressLineNumbers w:val="0"/>
              <w:ind w:right="0" w:rightChars="0"/>
              <w:jc w:val="both"/>
              <w:textAlignment w:val="center"/>
              <w:rPr>
                <w:rStyle w:val="25"/>
                <w:rFonts w:hint="eastAsia"/>
                <w:b/>
                <w:bCs/>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（1）层高2层；</w:t>
            </w:r>
          </w:p>
          <w:p w14:paraId="56D0A8BE">
            <w:pPr>
              <w:keepNext w:val="0"/>
              <w:keepLines w:val="0"/>
              <w:widowControl/>
              <w:numPr>
                <w:ilvl w:val="0"/>
                <w:numId w:val="0"/>
              </w:numPr>
              <w:suppressLineNumbers w:val="0"/>
              <w:tabs>
                <w:tab w:val="left" w:pos="311"/>
              </w:tabs>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（2）供应商不能存在不均衡响应报价；</w:t>
            </w:r>
          </w:p>
          <w:p w14:paraId="0BA31CEA">
            <w:pPr>
              <w:keepNext w:val="0"/>
              <w:keepLines w:val="0"/>
              <w:widowControl/>
              <w:numPr>
                <w:ilvl w:val="0"/>
                <w:numId w:val="0"/>
              </w:numPr>
              <w:suppressLineNumbers w:val="0"/>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（3）响应报价不能低于市场价，若低于市场价，采购人有权按照市场价进行调整；</w:t>
            </w:r>
          </w:p>
          <w:p w14:paraId="7C445309">
            <w:pPr>
              <w:keepNext w:val="0"/>
              <w:keepLines w:val="0"/>
              <w:widowControl/>
              <w:numPr>
                <w:ilvl w:val="0"/>
                <w:numId w:val="0"/>
              </w:numPr>
              <w:suppressLineNumbers w:val="0"/>
              <w:ind w:right="0" w:rightChars="0"/>
              <w:jc w:val="both"/>
              <w:textAlignment w:val="cente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（4）因供应商特种工报价过低不愿意提供，采购人有权自行从市场采购，采购价格从中标人费用中扣除；</w:t>
            </w:r>
          </w:p>
          <w:p w14:paraId="443606A5">
            <w:pPr>
              <w:ind w:left="0" w:leftChars="0" w:firstLine="0" w:firstLineChars="0"/>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（5）塔司、信号工工资按照24小时计算。</w:t>
            </w:r>
          </w:p>
          <w:p w14:paraId="5EF4CB21">
            <w:pPr>
              <w:ind w:left="0" w:leftChars="0" w:firstLine="0" w:firstLineChars="0"/>
              <w:rPr>
                <w:rStyle w:val="25"/>
                <w:rFonts w:hint="default"/>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（6）</w:t>
            </w:r>
            <w:r>
              <w:rPr>
                <w:rFonts w:hint="eastAsia" w:ascii="宋体" w:hAnsi="宋体" w:eastAsia="宋体" w:cs="宋体"/>
                <w:b/>
                <w:bCs/>
                <w:i w:val="0"/>
                <w:iCs w:val="0"/>
                <w:color w:val="FF0000"/>
                <w:spacing w:val="0"/>
                <w:w w:val="100"/>
                <w:kern w:val="0"/>
                <w:position w:val="0"/>
                <w:sz w:val="28"/>
                <w:szCs w:val="28"/>
                <w:u w:val="none"/>
                <w:shd w:val="clear" w:color="auto" w:fill="auto"/>
                <w:lang w:val="en-US" w:eastAsia="zh-CN" w:bidi="ar"/>
              </w:rPr>
              <w:t>不足30日历天月份结算额=每月分项报价/30*实际天数。</w:t>
            </w:r>
          </w:p>
        </w:tc>
      </w:tr>
    </w:tbl>
    <w:p w14:paraId="7535432A">
      <w:pPr>
        <w:keepNext w:val="0"/>
        <w:keepLines w:val="0"/>
        <w:pageBreakBefore w:val="0"/>
        <w:widowControl/>
        <w:numPr>
          <w:ilvl w:val="0"/>
          <w:numId w:val="0"/>
        </w:numPr>
        <w:suppressLineNumbers w:val="0"/>
        <w:shd w:val="clear" w:color="auto" w:fill="auto"/>
        <w:kinsoku/>
        <w:wordWrap/>
        <w:overflowPunct/>
        <w:topLinePunct w:val="0"/>
        <w:autoSpaceDE/>
        <w:autoSpaceDN/>
        <w:bidi w:val="0"/>
        <w:adjustRightInd/>
        <w:snapToGrid/>
        <w:spacing w:line="440" w:lineRule="exact"/>
        <w:ind w:leftChars="0" w:right="0" w:rightChars="0"/>
        <w:jc w:val="left"/>
        <w:textAlignment w:val="center"/>
        <w:rPr>
          <w:rFonts w:hint="default" w:ascii="宋体" w:hAnsi="宋体" w:eastAsia="宋体" w:cs="宋体"/>
          <w:b/>
          <w:bCs/>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（7）本合同为单价合同，单价控制价不超过如下标准：</w:t>
      </w:r>
    </w:p>
    <w:p w14:paraId="48A8A92A">
      <w:pPr>
        <w:keepNext w:val="0"/>
        <w:keepLines w:val="0"/>
        <w:pageBreakBefore w:val="0"/>
        <w:widowControl w:val="0"/>
        <w:kinsoku/>
        <w:wordWrap/>
        <w:overflowPunct/>
        <w:topLinePunct w:val="0"/>
        <w:autoSpaceDE/>
        <w:autoSpaceDN/>
        <w:bidi w:val="0"/>
        <w:adjustRightInd/>
        <w:snapToGrid/>
        <w:spacing w:line="440" w:lineRule="exact"/>
        <w:ind w:firstLine="442" w:firstLineChars="200"/>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1、塔吊</w:t>
      </w:r>
    </w:p>
    <w:p w14:paraId="571F9122">
      <w:pPr>
        <w:keepNext w:val="0"/>
        <w:keepLines w:val="0"/>
        <w:pageBreakBefore w:val="0"/>
        <w:widowControl w:val="0"/>
        <w:kinsoku/>
        <w:wordWrap/>
        <w:overflowPunct/>
        <w:topLinePunct w:val="0"/>
        <w:autoSpaceDE/>
        <w:autoSpaceDN/>
        <w:bidi w:val="0"/>
        <w:adjustRightInd/>
        <w:snapToGrid/>
        <w:spacing w:line="440" w:lineRule="exact"/>
        <w:ind w:firstLine="442" w:firstLineChars="200"/>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（1）塔吊租赁费用最高限价：2.95万元/月/台（含1个塔司、1个信号工、1个司索工费用，含9%增值税）；</w:t>
      </w:r>
    </w:p>
    <w:p w14:paraId="721341FC">
      <w:pPr>
        <w:keepNext w:val="0"/>
        <w:keepLines w:val="0"/>
        <w:pageBreakBefore w:val="0"/>
        <w:widowControl w:val="0"/>
        <w:kinsoku/>
        <w:wordWrap/>
        <w:overflowPunct/>
        <w:topLinePunct w:val="0"/>
        <w:autoSpaceDE/>
        <w:autoSpaceDN/>
        <w:bidi w:val="0"/>
        <w:adjustRightInd/>
        <w:snapToGrid/>
        <w:spacing w:line="440" w:lineRule="exact"/>
        <w:ind w:firstLine="442" w:firstLineChars="200"/>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（2）塔吊进出场、维修保养及安装、拆卸、过程中截臂、费用最高限价：1.3万元/台（含9%增值税）；</w:t>
      </w:r>
    </w:p>
    <w:p w14:paraId="7B7CEEED">
      <w:pPr>
        <w:keepNext w:val="0"/>
        <w:keepLines w:val="0"/>
        <w:pageBreakBefore w:val="0"/>
        <w:widowControl w:val="0"/>
        <w:kinsoku/>
        <w:wordWrap/>
        <w:overflowPunct/>
        <w:topLinePunct w:val="0"/>
        <w:autoSpaceDE/>
        <w:autoSpaceDN/>
        <w:bidi w:val="0"/>
        <w:adjustRightInd/>
        <w:snapToGrid/>
        <w:spacing w:line="440" w:lineRule="exact"/>
        <w:ind w:firstLine="442" w:firstLineChars="200"/>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2、物料提升机</w:t>
      </w:r>
    </w:p>
    <w:p w14:paraId="13028E54">
      <w:pPr>
        <w:keepNext w:val="0"/>
        <w:keepLines w:val="0"/>
        <w:pageBreakBefore w:val="0"/>
        <w:widowControl w:val="0"/>
        <w:kinsoku/>
        <w:wordWrap/>
        <w:overflowPunct/>
        <w:topLinePunct w:val="0"/>
        <w:autoSpaceDE/>
        <w:autoSpaceDN/>
        <w:bidi w:val="0"/>
        <w:adjustRightInd/>
        <w:snapToGrid/>
        <w:spacing w:line="440" w:lineRule="exact"/>
        <w:ind w:firstLine="442" w:firstLineChars="200"/>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（1）物料提升机租赁费最高限价：1万元/月/台（含1个司机，含9%增值税）；</w:t>
      </w:r>
    </w:p>
    <w:p w14:paraId="7043F09F">
      <w:pPr>
        <w:pStyle w:val="3"/>
        <w:pageBreakBefore w:val="0"/>
        <w:kinsoku/>
        <w:wordWrap/>
        <w:overflowPunct/>
        <w:topLinePunct w:val="0"/>
        <w:autoSpaceDE/>
        <w:autoSpaceDN/>
        <w:bidi w:val="0"/>
        <w:adjustRightInd/>
        <w:snapToGrid/>
        <w:spacing w:line="440" w:lineRule="exact"/>
        <w:jc w:val="left"/>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b/>
          <w:bCs/>
          <w:sz w:val="22"/>
          <w:szCs w:val="22"/>
          <w:lang w:val="en-US" w:eastAsia="zh-CN"/>
        </w:rPr>
        <w:t>（2）物料提升机进出场、维修保养及安装、拆卸、费用最高限价：0.5万元/台（含9%增值税）。</w:t>
      </w:r>
    </w:p>
    <w:bookmarkEnd w:id="278"/>
    <w:bookmarkEnd w:id="279"/>
    <w:bookmarkEnd w:id="280"/>
    <w:bookmarkEnd w:id="281"/>
    <w:bookmarkEnd w:id="282"/>
    <w:bookmarkEnd w:id="283"/>
    <w:p w14:paraId="577D3DDA">
      <w:pPr>
        <w:pStyle w:val="3"/>
        <w:jc w:val="center"/>
        <w:rPr>
          <w:rFonts w:hint="eastAsia"/>
        </w:rPr>
      </w:pPr>
      <w:bookmarkStart w:id="284" w:name="_Toc247527836"/>
      <w:bookmarkStart w:id="285" w:name="_Toc300835221"/>
      <w:bookmarkStart w:id="286" w:name="_Toc144974864"/>
      <w:bookmarkStart w:id="287" w:name="_Toc152042585"/>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246996373"/>
      <w:bookmarkStart w:id="294" w:name="_Toc296602618"/>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6370"/>
      <w:bookmarkStart w:id="298" w:name="_Toc247085888"/>
      <w:bookmarkStart w:id="299" w:name="_Toc246997113"/>
      <w:bookmarkStart w:id="300" w:name="_Toc247527850"/>
      <w:bookmarkStart w:id="301" w:name="_Toc144974878"/>
      <w:bookmarkStart w:id="302" w:name="_Toc247514302"/>
      <w:bookmarkStart w:id="303" w:name="_Toc152042599"/>
      <w:bookmarkStart w:id="304" w:name="_Toc300835226"/>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14303"/>
      <w:bookmarkStart w:id="312" w:name="_Toc152045811"/>
      <w:bookmarkStart w:id="313" w:name="_Toc152042600"/>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注：1、提供供应商的营业执照及资质证书的复印件或扫描件，加盖供应商单位公章；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450F28B-6803-46B1-9BF6-17AE5390AD1A}"/>
  </w:font>
  <w:font w:name="Arial">
    <w:panose1 w:val="020B0604020202020204"/>
    <w:charset w:val="01"/>
    <w:family w:val="swiss"/>
    <w:pitch w:val="default"/>
    <w:sig w:usb0="E0002EFF" w:usb1="C000785B" w:usb2="00000009" w:usb3="00000000" w:csb0="400001FF" w:csb1="FFFF0000"/>
    <w:embedRegular r:id="rId2" w:fontKey="{681C4FFD-238C-47D4-B749-7EA10398C785}"/>
  </w:font>
  <w:font w:name="黑体">
    <w:panose1 w:val="02010609060101010101"/>
    <w:charset w:val="86"/>
    <w:family w:val="auto"/>
    <w:pitch w:val="default"/>
    <w:sig w:usb0="800002BF" w:usb1="38CF7CFA" w:usb2="00000016" w:usb3="00000000" w:csb0="00040001" w:csb1="00000000"/>
    <w:embedRegular r:id="rId3" w:fontKey="{89A53BC7-8765-4DB8-A030-B861500637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17FCCDA-73C5-4B2F-A92E-B68C81141311}"/>
  </w:font>
  <w:font w:name="仿宋_GB2312">
    <w:panose1 w:val="02010609030101010101"/>
    <w:charset w:val="86"/>
    <w:family w:val="modern"/>
    <w:pitch w:val="default"/>
    <w:sig w:usb0="00000001" w:usb1="080E0000" w:usb2="00000000" w:usb3="00000000" w:csb0="00040000" w:csb1="00000000"/>
    <w:embedRegular r:id="rId5" w:fontKey="{226D35E6-8B35-4A5E-8733-6C6838F050EB}"/>
  </w:font>
  <w:font w:name="方正小标宋简体">
    <w:panose1 w:val="03000509000000000000"/>
    <w:charset w:val="86"/>
    <w:family w:val="auto"/>
    <w:pitch w:val="default"/>
    <w:sig w:usb0="00000001" w:usb1="080E0000" w:usb2="00000000" w:usb3="00000000" w:csb0="00040000" w:csb1="00000000"/>
    <w:embedRegular r:id="rId6" w:fontKey="{906DFA23-D87D-479D-88B6-3BCAA6048B2D}"/>
  </w:font>
  <w:font w:name="楷体">
    <w:panose1 w:val="02010609060101010101"/>
    <w:charset w:val="86"/>
    <w:family w:val="auto"/>
    <w:pitch w:val="default"/>
    <w:sig w:usb0="800002BF" w:usb1="38CF7CFA" w:usb2="00000016" w:usb3="00000000" w:csb0="00040001" w:csb1="00000000"/>
    <w:embedRegular r:id="rId7" w:fontKey="{F5632130-3F9F-4779-BE9E-84CB0A34E2F3}"/>
  </w:font>
  <w:font w:name="Wingdings 2">
    <w:panose1 w:val="05020102010507070707"/>
    <w:charset w:val="00"/>
    <w:family w:val="auto"/>
    <w:pitch w:val="default"/>
    <w:sig w:usb0="00000000" w:usb1="00000000" w:usb2="00000000" w:usb3="00000000" w:csb0="80000000" w:csb1="00000000"/>
    <w:embedRegular r:id="rId8" w:fontKey="{626AD5D3-FCDF-4BB5-9558-16FC9963DBDA}"/>
  </w:font>
  <w:font w:name="方正仿宋_GB2312">
    <w:panose1 w:val="02000000000000000000"/>
    <w:charset w:val="86"/>
    <w:family w:val="auto"/>
    <w:pitch w:val="default"/>
    <w:sig w:usb0="A00002BF" w:usb1="184F6CFA" w:usb2="00000012" w:usb3="00000000" w:csb0="00040001" w:csb1="00000000"/>
    <w:embedRegular r:id="rId9" w:fontKey="{111D0322-EB5E-4A93-AD75-7B8E30B68B63}"/>
  </w:font>
  <w:font w:name="仿宋">
    <w:panose1 w:val="02010609060101010101"/>
    <w:charset w:val="86"/>
    <w:family w:val="modern"/>
    <w:pitch w:val="default"/>
    <w:sig w:usb0="800002BF" w:usb1="38CF7CFA" w:usb2="00000016" w:usb3="00000000" w:csb0="00040001" w:csb1="00000000"/>
    <w:embedRegular r:id="rId10" w:fontKey="{F7257603-F301-475A-A306-75F8ED3653D0}"/>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86284"/>
    <w:multiLevelType w:val="singleLevel"/>
    <w:tmpl w:val="5F58628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7A17E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C02B88"/>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0771EA"/>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24937"/>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6FD669F"/>
    <w:rsid w:val="370074BA"/>
    <w:rsid w:val="37052D23"/>
    <w:rsid w:val="370F2E93"/>
    <w:rsid w:val="370F32ED"/>
    <w:rsid w:val="372D30A2"/>
    <w:rsid w:val="372F1B4E"/>
    <w:rsid w:val="37402912"/>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7A2AEB"/>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CF50C2"/>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A44BD2"/>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46656"/>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B27B5F"/>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B5711"/>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23890"/>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848BF"/>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33F06"/>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C53A45"/>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23A4D"/>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B7887"/>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4247</Words>
  <Characters>4899</Characters>
  <Lines>0</Lines>
  <Paragraphs>0</Paragraphs>
  <TotalTime>10</TotalTime>
  <ScaleCrop>false</ScaleCrop>
  <LinksUpToDate>false</LinksUpToDate>
  <CharactersWithSpaces>5023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2026-04-07T08:05:00Z</cp:lastPrinted>
  <dcterms:modified xsi:type="dcterms:W3CDTF">2026-04-20T07:07:10Z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18658CFAEC8E4746A80E0AA2394B7451_13</vt:lpwstr>
  </property>
  <property fmtid="{D5CDD505-2E9C-101B-9397-08002B2CF9AE}" pid="4" name="KSOTemplateDocerSaveRecord">
    <vt:lpwstr>eyJoZGlkIjoiOTc3M2Y5NzIzMDFlZjAyY2Q4Njk5ODkyYjFjNzBiNTQiLCJ1c2VySWQiOiI1NTMyMjQzNDEifQ==</vt:lpwstr>
  </property>
</Properties>
</file>