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C938F65">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center"/>
        <w:textAlignment w:val="auto"/>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文化公园首末站290kW光储充一体化项目</w:t>
      </w:r>
    </w:p>
    <w:p w14:paraId="211D52F9">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center"/>
        <w:textAlignment w:val="auto"/>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储能设备及充电桩采购</w:t>
      </w:r>
    </w:p>
    <w:p w14:paraId="2F1D46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ATRD-2026-07号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月23日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文化公园首末站290kW光储充一体化项目储能设备及充电桩采购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文化公园首末站290kW光储充一体化项目储能设备及充电桩采购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ATRD-2026-07号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26D9F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700000元</w:t>
      </w:r>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供应商根据</w:t>
      </w:r>
      <w:r>
        <w:rPr>
          <w:rFonts w:hint="eastAsia" w:asciiTheme="minorEastAsia" w:hAnsiTheme="minorEastAsia" w:eastAsiaTheme="minorEastAsia" w:cstheme="minorEastAsia"/>
          <w:kern w:val="2"/>
          <w:sz w:val="28"/>
          <w:szCs w:val="28"/>
          <w:highlight w:val="none"/>
          <w:lang w:val="en-US" w:eastAsia="zh-CN"/>
        </w:rPr>
        <w:t>采购</w:t>
      </w:r>
      <w:r>
        <w:rPr>
          <w:rFonts w:hint="eastAsia" w:asciiTheme="minorEastAsia" w:hAnsiTheme="minorEastAsia" w:eastAsiaTheme="minorEastAsia" w:cstheme="minorEastAsia"/>
          <w:kern w:val="2"/>
          <w:sz w:val="28"/>
          <w:szCs w:val="28"/>
          <w:highlight w:val="none"/>
          <w:lang w:eastAsia="zh-CN"/>
        </w:rPr>
        <w:t>清单，按</w:t>
      </w:r>
      <w:r>
        <w:rPr>
          <w:rFonts w:hint="eastAsia" w:asciiTheme="minorEastAsia" w:hAnsiTheme="minorEastAsia" w:eastAsiaTheme="minorEastAsia" w:cstheme="minorEastAsia"/>
          <w:color w:val="FF0000"/>
          <w:kern w:val="2"/>
          <w:sz w:val="28"/>
          <w:szCs w:val="28"/>
          <w:highlight w:val="none"/>
          <w:lang w:eastAsia="zh-CN"/>
        </w:rPr>
        <w:t>固定单价</w:t>
      </w:r>
      <w:r>
        <w:rPr>
          <w:rFonts w:hint="eastAsia" w:asciiTheme="minorEastAsia" w:hAnsiTheme="minorEastAsia" w:eastAsiaTheme="minorEastAsia" w:cstheme="minorEastAsia"/>
          <w:kern w:val="2"/>
          <w:sz w:val="28"/>
          <w:szCs w:val="28"/>
          <w:highlight w:val="none"/>
          <w:lang w:eastAsia="zh-CN"/>
        </w:rPr>
        <w:t>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EE0AA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文化公园首末站290kW光储充一体化项目储能设备及充电桩采购，采购内容为储能设备2台、</w:t>
      </w:r>
      <w:r>
        <w:rPr>
          <w:rFonts w:hint="eastAsia" w:asciiTheme="minorEastAsia" w:hAnsiTheme="minorEastAsia" w:eastAsiaTheme="minorEastAsia" w:cstheme="minorEastAsia"/>
          <w:b w:val="0"/>
          <w:bCs w:val="0"/>
          <w:kern w:val="2"/>
          <w:sz w:val="28"/>
          <w:szCs w:val="28"/>
          <w:highlight w:val="none"/>
          <w:lang w:val="en-US" w:eastAsia="zh-CN"/>
        </w:rPr>
        <w:t>480kW群控充电桩一套（含1机2枪充电终端4台）、</w:t>
      </w:r>
      <w:r>
        <w:rPr>
          <w:rFonts w:hint="eastAsia" w:asciiTheme="minorEastAsia" w:hAnsiTheme="minorEastAsia" w:eastAsiaTheme="minorEastAsia" w:cstheme="minorEastAsia"/>
          <w:kern w:val="2"/>
          <w:sz w:val="28"/>
          <w:szCs w:val="28"/>
          <w:highlight w:val="none"/>
          <w:lang w:val="en-US" w:eastAsia="zh-CN"/>
        </w:rPr>
        <w:t>具体规格、技术参数、储能设备及充电桩并网所需一些辅材等要求详见附件采购清单及图纸。</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采购人提交采购需求</w:t>
      </w:r>
      <w:r>
        <w:rPr>
          <w:rFonts w:hint="eastAsia" w:asciiTheme="minorEastAsia" w:hAnsiTheme="minorEastAsia" w:eastAsiaTheme="minorEastAsia" w:cstheme="minorEastAsia"/>
          <w:color w:val="auto"/>
          <w:kern w:val="2"/>
          <w:sz w:val="28"/>
          <w:szCs w:val="28"/>
          <w:highlight w:val="none"/>
          <w:lang w:val="en-US" w:eastAsia="zh-CN"/>
        </w:rPr>
        <w:t>后7日历天内完成供货。</w:t>
      </w:r>
      <w:permEnd w:id="9"/>
    </w:p>
    <w:p w14:paraId="38890F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b w:val="0"/>
          <w:bCs w:val="0"/>
          <w:kern w:val="2"/>
          <w:sz w:val="28"/>
          <w:szCs w:val="28"/>
          <w:highlight w:val="none"/>
          <w:lang w:val="en-US" w:eastAsia="zh-CN"/>
        </w:rPr>
        <w:t>安徽省亳州市谯城区汤王大道与紫苑路交口东北角</w:t>
      </w:r>
      <w:r>
        <w:rPr>
          <w:rFonts w:hint="eastAsia" w:asciiTheme="minorEastAsia" w:hAnsiTheme="minorEastAsia" w:eastAsiaTheme="minorEastAsia" w:cstheme="minorEastAsia"/>
          <w:kern w:val="2"/>
          <w:sz w:val="28"/>
          <w:szCs w:val="28"/>
          <w:highlight w:val="none"/>
          <w:lang w:val="en-US" w:eastAsia="zh-CN"/>
        </w:rPr>
        <w:t>。</w:t>
      </w:r>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EE5C9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w:t>
      </w:r>
      <w:r>
        <w:rPr>
          <w:rFonts w:hint="eastAsia" w:asciiTheme="minorEastAsia" w:hAnsiTheme="minorEastAsia" w:eastAsiaTheme="minorEastAsia" w:cstheme="minorEastAsia"/>
          <w:kern w:val="2"/>
          <w:sz w:val="28"/>
          <w:szCs w:val="28"/>
          <w:highlight w:val="none"/>
          <w:lang w:eastAsia="zh-CN"/>
        </w:rPr>
        <w:t>并在人员、设备、资金</w:t>
      </w:r>
      <w:r>
        <w:rPr>
          <w:rFonts w:hint="eastAsia" w:asciiTheme="minorEastAsia" w:hAnsiTheme="minorEastAsia" w:eastAsiaTheme="minorEastAsia" w:cstheme="minorEastAsia"/>
          <w:kern w:val="2"/>
          <w:sz w:val="28"/>
          <w:szCs w:val="28"/>
          <w:highlight w:val="none"/>
          <w:lang w:val="en-US" w:eastAsia="zh-CN"/>
        </w:rPr>
        <w:t>等方面具有承担本项目供货的能力。</w:t>
      </w:r>
    </w:p>
    <w:p w14:paraId="0C204F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permStart w:id="11"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3</w:t>
      </w:r>
      <w:permEnd w:id="11"/>
      <w:r>
        <w:rPr>
          <w:rFonts w:hint="eastAsia" w:asciiTheme="minorEastAsia" w:hAnsiTheme="minorEastAsia" w:eastAsiaTheme="minorEastAsia" w:cstheme="minorEastAsia"/>
          <w:kern w:val="2"/>
          <w:sz w:val="28"/>
          <w:szCs w:val="28"/>
          <w:highlight w:val="none"/>
          <w:lang w:val="en-US" w:eastAsia="zh-CN"/>
        </w:rPr>
        <w:t>年</w:t>
      </w:r>
      <w:r>
        <w:rPr>
          <w:rFonts w:hint="eastAsia" w:asciiTheme="minorEastAsia" w:hAnsiTheme="minorEastAsia" w:cstheme="minorEastAsia"/>
          <w:kern w:val="2"/>
          <w:sz w:val="28"/>
          <w:szCs w:val="28"/>
          <w:highlight w:val="none"/>
          <w:lang w:val="en-US" w:eastAsia="zh-CN"/>
        </w:rPr>
        <w:t>1月以来</w:t>
      </w:r>
      <w:r>
        <w:rPr>
          <w:rFonts w:hint="eastAsia" w:asciiTheme="minorEastAsia" w:hAnsiTheme="minorEastAsia" w:eastAsiaTheme="minorEastAsia" w:cstheme="minorEastAsia"/>
          <w:kern w:val="2"/>
          <w:sz w:val="28"/>
          <w:szCs w:val="28"/>
          <w:highlight w:val="none"/>
          <w:lang w:val="en-US" w:eastAsia="zh-CN"/>
        </w:rPr>
        <w:t>至今企业类似项目业绩</w:t>
      </w:r>
      <w:permStart w:id="12" w:edGrp="everyone"/>
      <w:r>
        <w:rPr>
          <w:rFonts w:hint="eastAsia" w:asciiTheme="minorEastAsia" w:hAnsiTheme="minorEastAsia" w:eastAsiaTheme="minorEastAsia" w:cstheme="minorEastAsia"/>
          <w:kern w:val="2"/>
          <w:sz w:val="28"/>
          <w:szCs w:val="28"/>
          <w:highlight w:val="none"/>
          <w:u w:val="single"/>
          <w:lang w:val="en-US" w:eastAsia="zh-CN"/>
        </w:rPr>
        <w:t>1</w:t>
      </w:r>
      <w:permEnd w:id="12"/>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3" w:edGrp="everyone"/>
      <w:r>
        <w:rPr>
          <w:rFonts w:hint="eastAsia" w:asciiTheme="minorEastAsia" w:hAnsiTheme="minorEastAsia" w:eastAsiaTheme="minorEastAsia" w:cstheme="minorEastAsia"/>
          <w:kern w:val="2"/>
          <w:sz w:val="28"/>
          <w:szCs w:val="28"/>
          <w:highlight w:val="none"/>
          <w:lang w:val="en-US" w:eastAsia="zh-CN"/>
        </w:rPr>
        <w:t>合同签订时间</w:t>
      </w:r>
      <w:permEnd w:id="13"/>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kern w:val="2"/>
          <w:sz w:val="28"/>
          <w:szCs w:val="28"/>
          <w:highlight w:val="none"/>
          <w:u w:val="single"/>
          <w:lang w:val="en-US" w:eastAsia="zh-CN"/>
        </w:rPr>
        <w:t xml:space="preserve"> 单项合同金额不低于35万元的储能设备或充电桩材料销售业绩。</w:t>
      </w:r>
    </w:p>
    <w:permEnd w:id="14"/>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7"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30</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r>
              <w:rPr>
                <w:rFonts w:hint="eastAsia" w:asciiTheme="minorEastAsia" w:hAnsiTheme="minorEastAsia" w:cstheme="minorEastAsia"/>
                <w:color w:val="FF0000"/>
                <w:sz w:val="28"/>
                <w:szCs w:val="28"/>
                <w:highlight w:val="none"/>
                <w:u w:val="single"/>
                <w:lang w:val="en-US" w:eastAsia="zh-CN"/>
              </w:rPr>
              <w:t>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14000.00元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亳州市安腾弱电工程有限公司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孙经理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17705671717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i w:val="0"/>
          <w:iCs w:val="0"/>
          <w:color w:val="FF0000"/>
          <w:sz w:val="28"/>
          <w:szCs w:val="28"/>
          <w:highlight w:val="none"/>
          <w:u w:val="singl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亳州市安腾弱电工程有限公司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30</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14000.00元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CBE7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亳州市安腾弱电工程有限公司</w:t>
            </w:r>
          </w:p>
          <w:p w14:paraId="436BF8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eastAsia="zh-CN"/>
              </w:rPr>
              <w:t>亳州药都农村商业银行股份有限公司高新区支行</w:t>
            </w:r>
          </w:p>
          <w:p w14:paraId="094B23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rPr>
              <w:t>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ATRD-2026-07号保证金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文化公园首末站290kW光储充一体化项目储能设备及充电桩采购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项目编号：ATRD-2026-07号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431EC20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开户名称：</w:t>
            </w:r>
            <w:r>
              <w:rPr>
                <w:rFonts w:hint="eastAsia" w:ascii="Times New Roman" w:hAnsi="Times New Roman" w:cs="Times New Roman"/>
                <w:b/>
                <w:bCs/>
                <w:color w:val="FF0000"/>
                <w:szCs w:val="21"/>
                <w:highlight w:val="none"/>
                <w:lang w:val="en-US" w:eastAsia="zh-CN"/>
              </w:rPr>
              <w:t>亳州市安腾弱电工程有限公司</w:t>
            </w:r>
          </w:p>
          <w:p w14:paraId="1627BBB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color w:val="FF0000"/>
                <w:szCs w:val="21"/>
                <w:highlight w:val="none"/>
                <w:lang w:val="en-US" w:eastAsia="zh-CN"/>
              </w:rPr>
            </w:pPr>
            <w:r>
              <w:rPr>
                <w:rFonts w:hint="default" w:ascii="Times New Roman" w:hAnsi="Times New Roman" w:cs="Times New Roman"/>
                <w:b/>
                <w:bCs/>
                <w:color w:val="FF0000"/>
                <w:szCs w:val="21"/>
                <w:highlight w:val="none"/>
                <w:lang w:val="en-US" w:eastAsia="zh-CN"/>
              </w:rPr>
              <w:t>开户银行：</w:t>
            </w:r>
            <w:r>
              <w:rPr>
                <w:rFonts w:hint="eastAsia" w:ascii="Times New Roman" w:hAnsi="Times New Roman" w:cs="Times New Roman"/>
                <w:b/>
                <w:bCs/>
                <w:color w:val="FF0000"/>
                <w:szCs w:val="21"/>
                <w:highlight w:val="none"/>
                <w:lang w:val="en-US" w:eastAsia="zh-CN"/>
              </w:rPr>
              <w:t>亳州药都农村商业银行股份有限公司高新区支行</w:t>
            </w:r>
          </w:p>
          <w:p w14:paraId="160B961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color w:val="FF0000"/>
                <w:szCs w:val="21"/>
                <w:highlight w:val="none"/>
                <w:lang w:val="en-US" w:eastAsia="zh-CN"/>
              </w:rPr>
              <w:t>银行账号：</w:t>
            </w:r>
            <w:r>
              <w:rPr>
                <w:rFonts w:hint="eastAsia" w:ascii="Times New Roman" w:hAnsi="Times New Roman" w:cs="Times New Roman"/>
                <w:b/>
                <w:bCs/>
                <w:color w:val="FF0000"/>
                <w:szCs w:val="21"/>
                <w:highlight w:val="none"/>
                <w:lang w:val="en-US" w:eastAsia="zh-CN"/>
              </w:rPr>
              <w:t>20000544905210300000122</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FF0000"/>
                <w:szCs w:val="21"/>
                <w:highlight w:val="none"/>
                <w:lang w:val="en-US" w:eastAsia="zh-CN"/>
              </w:rPr>
              <w:t>成交价款的10%</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46996178"/>
      <w:bookmarkStart w:id="2" w:name="_Toc152042308"/>
      <w:bookmarkStart w:id="3" w:name="_Toc144974500"/>
      <w:bookmarkStart w:id="4" w:name="_Toc152045532"/>
      <w:bookmarkStart w:id="5" w:name="_Toc247085692"/>
      <w:bookmarkStart w:id="6" w:name="_Toc296602423"/>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152045536"/>
      <w:bookmarkStart w:id="10" w:name="_Toc152042312"/>
      <w:bookmarkStart w:id="11" w:name="_Toc246996924"/>
      <w:bookmarkStart w:id="12" w:name="_Toc247085695"/>
      <w:bookmarkStart w:id="13" w:name="_Toc246996181"/>
      <w:bookmarkStart w:id="14" w:name="_Toc179632553"/>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96602427"/>
      <w:bookmarkStart w:id="19" w:name="_Toc179632554"/>
      <w:bookmarkStart w:id="20" w:name="_Toc152045537"/>
      <w:bookmarkStart w:id="21" w:name="_Toc246996925"/>
      <w:bookmarkStart w:id="22" w:name="_Toc247085696"/>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246996926"/>
      <w:bookmarkStart w:id="26" w:name="_Toc179632555"/>
      <w:bookmarkStart w:id="27" w:name="_Toc246996183"/>
      <w:bookmarkStart w:id="28" w:name="_Toc247085697"/>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179632560"/>
      <w:bookmarkStart w:id="33" w:name="_Toc152045542"/>
      <w:bookmarkStart w:id="34" w:name="_Toc247085701"/>
      <w:bookmarkStart w:id="35" w:name="_Toc246996187"/>
      <w:bookmarkStart w:id="36" w:name="_Toc152042318"/>
      <w:bookmarkStart w:id="37" w:name="_Toc144974510"/>
      <w:bookmarkStart w:id="38" w:name="_Toc24699693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179632561"/>
      <w:bookmarkStart w:id="41" w:name="_Toc296602433"/>
      <w:bookmarkStart w:id="42" w:name="_Toc152042319"/>
      <w:bookmarkStart w:id="43" w:name="_Toc246996188"/>
      <w:bookmarkStart w:id="44" w:name="_Toc144974511"/>
      <w:bookmarkStart w:id="45" w:name="_Toc247085702"/>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246996932"/>
      <w:bookmarkStart w:id="49" w:name="_Toc246996189"/>
      <w:bookmarkStart w:id="50" w:name="_Toc152042320"/>
      <w:bookmarkStart w:id="51" w:name="_Toc152045544"/>
      <w:bookmarkStart w:id="52" w:name="_Toc179632562"/>
      <w:bookmarkStart w:id="53" w:name="_Toc296602434"/>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52042321"/>
      <w:bookmarkStart w:id="57" w:name="_Toc246996190"/>
      <w:bookmarkStart w:id="58" w:name="_Toc144974513"/>
      <w:bookmarkStart w:id="59" w:name="_Toc296602435"/>
      <w:bookmarkStart w:id="60" w:name="_Toc152045545"/>
      <w:bookmarkStart w:id="61" w:name="_Toc179632563"/>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296602436"/>
      <w:bookmarkStart w:id="65" w:name="_Toc247085705"/>
      <w:bookmarkStart w:id="66" w:name="_Toc179632564"/>
      <w:bookmarkStart w:id="67" w:name="_Toc144974514"/>
      <w:bookmarkStart w:id="68" w:name="_Toc246996934"/>
      <w:bookmarkStart w:id="69" w:name="_Toc246996191"/>
      <w:bookmarkStart w:id="70" w:name="_Toc152045546"/>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79632565"/>
      <w:bookmarkStart w:id="73" w:name="_Toc152042323"/>
      <w:bookmarkStart w:id="74" w:name="_Toc144974515"/>
      <w:bookmarkStart w:id="75" w:name="_Toc152045547"/>
      <w:bookmarkStart w:id="76" w:name="_Toc246996935"/>
      <w:bookmarkStart w:id="77" w:name="_Toc246996192"/>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44974516"/>
      <w:bookmarkStart w:id="81" w:name="_Toc179632566"/>
      <w:bookmarkStart w:id="82" w:name="_Toc246996193"/>
      <w:bookmarkStart w:id="83" w:name="_Toc152042324"/>
      <w:bookmarkStart w:id="84" w:name="_Toc296602438"/>
      <w:bookmarkStart w:id="85" w:name="_Toc152045548"/>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246996199"/>
      <w:bookmarkStart w:id="97" w:name="_Toc152042331"/>
      <w:bookmarkStart w:id="98" w:name="_Toc247085713"/>
      <w:bookmarkStart w:id="99" w:name="_Toc179632573"/>
      <w:bookmarkStart w:id="100" w:name="_Toc152045555"/>
      <w:bookmarkStart w:id="101" w:name="_Toc14497452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943"/>
      <w:bookmarkStart w:id="105" w:name="_Toc296602444"/>
      <w:bookmarkStart w:id="106" w:name="_Toc247085714"/>
      <w:bookmarkStart w:id="107" w:name="_Toc152042332"/>
      <w:bookmarkStart w:id="108" w:name="_Toc144974524"/>
      <w:bookmarkStart w:id="109" w:name="_Toc17963257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75"/>
      <w:bookmarkStart w:id="112" w:name="_Toc247085715"/>
      <w:bookmarkStart w:id="113" w:name="_Toc246996944"/>
      <w:bookmarkStart w:id="114" w:name="_Toc144974525"/>
      <w:bookmarkStart w:id="115" w:name="_Toc152045557"/>
      <w:bookmarkStart w:id="116" w:name="_Toc246996201"/>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202"/>
      <w:bookmarkStart w:id="120" w:name="_Toc247085716"/>
      <w:bookmarkStart w:id="121" w:name="_Toc246996945"/>
      <w:bookmarkStart w:id="122" w:name="_Toc152042334"/>
      <w:bookmarkStart w:id="123" w:name="_Toc152045558"/>
      <w:bookmarkStart w:id="124" w:name="_Toc14497452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144974527"/>
      <w:bookmarkStart w:id="128" w:name="_Toc152042335"/>
      <w:bookmarkStart w:id="129" w:name="_Toc296602447"/>
      <w:bookmarkStart w:id="130" w:name="_Toc246996203"/>
      <w:bookmarkStart w:id="131" w:name="_Toc152045559"/>
      <w:bookmarkStart w:id="132" w:name="_Toc24708571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52042336"/>
      <w:bookmarkStart w:id="136" w:name="_Toc296602448"/>
      <w:bookmarkStart w:id="137" w:name="_Toc152045560"/>
      <w:bookmarkStart w:id="138" w:name="_Toc246996947"/>
      <w:bookmarkStart w:id="139" w:name="_Toc247085718"/>
      <w:bookmarkStart w:id="140" w:name="_Toc17963257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47085719"/>
      <w:bookmarkStart w:id="144" w:name="_Toc152042337"/>
      <w:bookmarkStart w:id="145" w:name="_Toc296602449"/>
      <w:bookmarkStart w:id="146" w:name="_Toc152045561"/>
      <w:bookmarkStart w:id="147" w:name="_Toc246996205"/>
      <w:bookmarkStart w:id="148" w:name="_Toc17963257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950"/>
      <w:bookmarkStart w:id="152" w:name="_Toc247085721"/>
      <w:bookmarkStart w:id="153" w:name="_Toc152045563"/>
      <w:bookmarkStart w:id="154" w:name="_Toc152042339"/>
      <w:bookmarkStart w:id="155" w:name="_Toc179632581"/>
      <w:bookmarkStart w:id="156" w:name="_Toc296602452"/>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5566"/>
      <w:bookmarkStart w:id="159" w:name="_Toc296602455"/>
      <w:bookmarkStart w:id="160" w:name="_Toc144974534"/>
      <w:bookmarkStart w:id="161" w:name="_Toc179632584"/>
      <w:bookmarkStart w:id="162" w:name="_Toc152042342"/>
      <w:bookmarkStart w:id="163" w:name="_Toc246996210"/>
      <w:bookmarkStart w:id="164" w:name="_Toc24708572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7085725"/>
      <w:bookmarkStart w:id="168" w:name="_Toc246996211"/>
      <w:bookmarkStart w:id="169" w:name="_Toc144974535"/>
      <w:bookmarkStart w:id="170" w:name="_Toc152045567"/>
      <w:bookmarkStart w:id="171" w:name="_Toc246996954"/>
      <w:bookmarkStart w:id="172" w:name="_Toc152042343"/>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7085726"/>
      <w:bookmarkStart w:id="177" w:name="_Toc179632586"/>
      <w:bookmarkStart w:id="178" w:name="_Toc152045568"/>
      <w:bookmarkStart w:id="179" w:name="_Toc152042344"/>
      <w:bookmarkStart w:id="180" w:name="_Toc246996955"/>
      <w:bookmarkStart w:id="181" w:name="_Toc246996212"/>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52045569"/>
      <w:bookmarkStart w:id="185" w:name="_Toc179632587"/>
      <w:bookmarkStart w:id="186" w:name="_Toc246996956"/>
      <w:bookmarkStart w:id="187" w:name="_Toc296602459"/>
      <w:bookmarkStart w:id="188" w:name="_Toc152042345"/>
      <w:bookmarkStart w:id="189" w:name="_Toc246996213"/>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179632593"/>
      <w:bookmarkStart w:id="194" w:name="_Toc296602462"/>
      <w:bookmarkStart w:id="195" w:name="_Toc144974543"/>
      <w:bookmarkStart w:id="196" w:name="_Toc247085733"/>
      <w:bookmarkStart w:id="197" w:name="_Toc152042351"/>
      <w:bookmarkStart w:id="198" w:name="_Toc296590983"/>
      <w:bookmarkStart w:id="199" w:name="_Toc246996962"/>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152045576"/>
      <w:bookmarkStart w:id="203" w:name="_Toc247085734"/>
      <w:bookmarkStart w:id="204" w:name="_Toc296602463"/>
      <w:bookmarkStart w:id="205" w:name="_Toc144974544"/>
      <w:bookmarkStart w:id="206" w:name="_Toc246996963"/>
      <w:bookmarkStart w:id="207" w:name="_Toc17963259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964"/>
      <w:bookmarkStart w:id="211" w:name="_Toc152042353"/>
      <w:bookmarkStart w:id="212" w:name="_Toc246996221"/>
      <w:bookmarkStart w:id="213" w:name="_Toc179632595"/>
      <w:bookmarkStart w:id="214" w:name="_Toc152045577"/>
      <w:bookmarkStart w:id="215" w:name="_Toc2966024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247085747"/>
            <w:bookmarkStart w:id="219" w:name="_Toc144974556"/>
            <w:bookmarkStart w:id="220" w:name="_Toc246996232"/>
            <w:bookmarkStart w:id="221" w:name="_Toc152042366"/>
            <w:bookmarkStart w:id="222" w:name="_Toc246996975"/>
            <w:bookmarkStart w:id="223" w:name="_Toc179632607"/>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46996979"/>
      <w:bookmarkStart w:id="227" w:name="_Toc247085751"/>
      <w:bookmarkStart w:id="228" w:name="_Toc144974560"/>
      <w:bookmarkStart w:id="229" w:name="_Toc246996236"/>
      <w:bookmarkStart w:id="230" w:name="_Toc152045593"/>
      <w:bookmarkStart w:id="231" w:name="_Toc179632611"/>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246996982"/>
      <w:bookmarkStart w:id="237" w:name="_Toc246996239"/>
      <w:bookmarkStart w:id="238" w:name="_Toc179632614"/>
      <w:bookmarkStart w:id="239" w:name="_Toc152045596"/>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273C2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合同签订后，采购人在发货前向成交人支付该成交价款的30%作为预付款，成交人完成供货并经采购人验收合格后，采购人向成交人付至合格货物价款的100%。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7A01C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41109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75F56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073DA7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储能设备质保期自项目竣工验收合格之日起5年；充电桩主机质保期自项目竣工验收合格之日起3年、桩子1年。</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6C495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56C3233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一、采购清单：</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86"/>
        <w:gridCol w:w="581"/>
        <w:gridCol w:w="2540"/>
        <w:gridCol w:w="629"/>
        <w:gridCol w:w="793"/>
        <w:gridCol w:w="953"/>
        <w:gridCol w:w="470"/>
        <w:gridCol w:w="992"/>
        <w:gridCol w:w="1178"/>
      </w:tblGrid>
      <w:tr w14:paraId="589D6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5000" w:type="pct"/>
            <w:gridSpan w:val="9"/>
            <w:shd w:val="clear" w:color="auto" w:fill="auto"/>
            <w:noWrap/>
            <w:vAlign w:val="center"/>
          </w:tcPr>
          <w:p w14:paraId="701F944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文化公园首末站290kW光储充一体化项目储能设备及充电桩采购清单</w:t>
            </w:r>
          </w:p>
        </w:tc>
      </w:tr>
      <w:tr w14:paraId="7A1F4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0" w:hRule="atLeast"/>
        </w:trPr>
        <w:tc>
          <w:tcPr>
            <w:tcW w:w="227" w:type="pct"/>
            <w:shd w:val="clear" w:color="auto" w:fill="auto"/>
            <w:vAlign w:val="center"/>
          </w:tcPr>
          <w:p w14:paraId="527D0F3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41" w:type="pct"/>
            <w:shd w:val="clear" w:color="auto" w:fill="auto"/>
            <w:vAlign w:val="center"/>
          </w:tcPr>
          <w:p w14:paraId="215CF0F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490" w:type="pct"/>
            <w:shd w:val="clear" w:color="auto" w:fill="auto"/>
            <w:vAlign w:val="center"/>
          </w:tcPr>
          <w:p w14:paraId="29C486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69" w:type="pct"/>
            <w:shd w:val="clear" w:color="auto" w:fill="auto"/>
            <w:vAlign w:val="center"/>
          </w:tcPr>
          <w:p w14:paraId="77AA3DF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465" w:type="pct"/>
            <w:shd w:val="clear" w:color="auto" w:fill="auto"/>
            <w:vAlign w:val="center"/>
          </w:tcPr>
          <w:p w14:paraId="600630D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56" w:type="pct"/>
            <w:shd w:val="clear" w:color="auto" w:fill="auto"/>
            <w:vAlign w:val="center"/>
          </w:tcPr>
          <w:p w14:paraId="7528A9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单价（元/单位；含税）</w:t>
            </w:r>
          </w:p>
        </w:tc>
        <w:tc>
          <w:tcPr>
            <w:tcW w:w="276" w:type="pct"/>
            <w:shd w:val="clear" w:color="auto" w:fill="auto"/>
            <w:vAlign w:val="center"/>
          </w:tcPr>
          <w:p w14:paraId="7335B7B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82" w:type="pct"/>
            <w:shd w:val="clear" w:color="auto" w:fill="auto"/>
            <w:vAlign w:val="center"/>
          </w:tcPr>
          <w:p w14:paraId="25B9F52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小计（元；含税）</w:t>
            </w:r>
          </w:p>
        </w:tc>
        <w:tc>
          <w:tcPr>
            <w:tcW w:w="689" w:type="pct"/>
            <w:shd w:val="clear" w:color="auto" w:fill="auto"/>
            <w:vAlign w:val="center"/>
          </w:tcPr>
          <w:p w14:paraId="74CFDB8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品牌 </w:t>
            </w:r>
          </w:p>
        </w:tc>
      </w:tr>
      <w:tr w14:paraId="1BE44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80" w:hRule="atLeast"/>
        </w:trPr>
        <w:tc>
          <w:tcPr>
            <w:tcW w:w="227" w:type="pct"/>
            <w:shd w:val="clear" w:color="auto" w:fill="auto"/>
            <w:vAlign w:val="center"/>
          </w:tcPr>
          <w:p w14:paraId="788A1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41" w:type="pct"/>
            <w:shd w:val="clear" w:color="auto" w:fill="auto"/>
            <w:vAlign w:val="center"/>
          </w:tcPr>
          <w:p w14:paraId="7E581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490" w:type="pct"/>
            <w:shd w:val="clear" w:color="auto" w:fill="auto"/>
            <w:vAlign w:val="center"/>
          </w:tcPr>
          <w:p w14:paraId="5D046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108kW/241kWh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9" w:type="pct"/>
            <w:shd w:val="clear" w:color="auto" w:fill="auto"/>
            <w:vAlign w:val="center"/>
          </w:tcPr>
          <w:p w14:paraId="59D38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465" w:type="pct"/>
            <w:shd w:val="clear" w:color="auto" w:fill="auto"/>
            <w:vAlign w:val="center"/>
          </w:tcPr>
          <w:p w14:paraId="41072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6" w:type="pct"/>
            <w:shd w:val="clear" w:color="auto" w:fill="auto"/>
            <w:vAlign w:val="center"/>
          </w:tcPr>
          <w:p w14:paraId="0E4300D5">
            <w:pPr>
              <w:jc w:val="center"/>
              <w:rPr>
                <w:rFonts w:hint="eastAsia" w:ascii="宋体" w:hAnsi="宋体" w:eastAsia="宋体" w:cs="宋体"/>
                <w:i w:val="0"/>
                <w:iCs w:val="0"/>
                <w:color w:val="000000"/>
                <w:sz w:val="20"/>
                <w:szCs w:val="20"/>
                <w:u w:val="none"/>
              </w:rPr>
            </w:pPr>
          </w:p>
        </w:tc>
        <w:tc>
          <w:tcPr>
            <w:tcW w:w="276" w:type="pct"/>
            <w:shd w:val="clear" w:color="auto" w:fill="auto"/>
            <w:vAlign w:val="center"/>
          </w:tcPr>
          <w:p w14:paraId="7931C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2" w:type="pct"/>
            <w:shd w:val="clear" w:color="auto" w:fill="auto"/>
            <w:vAlign w:val="center"/>
          </w:tcPr>
          <w:p w14:paraId="2BCBC22A">
            <w:pPr>
              <w:jc w:val="center"/>
              <w:rPr>
                <w:rFonts w:hint="eastAsia" w:ascii="宋体" w:hAnsi="宋体" w:eastAsia="宋体" w:cs="宋体"/>
                <w:i w:val="0"/>
                <w:iCs w:val="0"/>
                <w:color w:val="000000"/>
                <w:sz w:val="20"/>
                <w:szCs w:val="20"/>
                <w:u w:val="none"/>
              </w:rPr>
            </w:pPr>
          </w:p>
        </w:tc>
        <w:tc>
          <w:tcPr>
            <w:tcW w:w="689" w:type="pct"/>
            <w:shd w:val="clear" w:color="auto" w:fill="auto"/>
            <w:vAlign w:val="center"/>
          </w:tcPr>
          <w:p w14:paraId="09194EC5">
            <w:pPr>
              <w:jc w:val="center"/>
              <w:rPr>
                <w:rFonts w:hint="eastAsia" w:ascii="宋体" w:hAnsi="宋体" w:eastAsia="宋体" w:cs="宋体"/>
                <w:i w:val="0"/>
                <w:iCs w:val="0"/>
                <w:color w:val="000000"/>
                <w:sz w:val="20"/>
                <w:szCs w:val="20"/>
                <w:u w:val="none"/>
              </w:rPr>
            </w:pPr>
          </w:p>
        </w:tc>
      </w:tr>
      <w:tr w14:paraId="4D73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227" w:type="pct"/>
            <w:shd w:val="clear" w:color="auto" w:fill="auto"/>
            <w:vAlign w:val="center"/>
          </w:tcPr>
          <w:p w14:paraId="0CED6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41" w:type="pct"/>
            <w:shd w:val="clear" w:color="auto" w:fill="auto"/>
            <w:vAlign w:val="center"/>
          </w:tcPr>
          <w:p w14:paraId="77250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充电桩</w:t>
            </w:r>
          </w:p>
        </w:tc>
        <w:tc>
          <w:tcPr>
            <w:tcW w:w="1490" w:type="pct"/>
            <w:shd w:val="clear" w:color="auto" w:fill="auto"/>
            <w:vAlign w:val="center"/>
          </w:tcPr>
          <w:p w14:paraId="33DC2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1、名称：充电桩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2、规格：480kW群控充电桩一套（含1机2枪充电终端4台）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9" w:type="pct"/>
            <w:shd w:val="clear" w:color="auto" w:fill="auto"/>
            <w:vAlign w:val="center"/>
          </w:tcPr>
          <w:p w14:paraId="0E8A3A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465" w:type="pct"/>
            <w:shd w:val="clear" w:color="auto" w:fill="auto"/>
            <w:vAlign w:val="center"/>
          </w:tcPr>
          <w:p w14:paraId="70113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6" w:type="pct"/>
            <w:shd w:val="clear" w:color="auto" w:fill="auto"/>
            <w:vAlign w:val="center"/>
          </w:tcPr>
          <w:p w14:paraId="21AD7980">
            <w:pPr>
              <w:jc w:val="center"/>
              <w:rPr>
                <w:rFonts w:hint="eastAsia" w:ascii="宋体" w:hAnsi="宋体" w:eastAsia="宋体" w:cs="宋体"/>
                <w:i w:val="0"/>
                <w:iCs w:val="0"/>
                <w:color w:val="000000"/>
                <w:sz w:val="20"/>
                <w:szCs w:val="20"/>
                <w:u w:val="none"/>
              </w:rPr>
            </w:pPr>
          </w:p>
        </w:tc>
        <w:tc>
          <w:tcPr>
            <w:tcW w:w="276" w:type="pct"/>
            <w:shd w:val="clear" w:color="auto" w:fill="auto"/>
            <w:vAlign w:val="center"/>
          </w:tcPr>
          <w:p w14:paraId="2BED2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2" w:type="pct"/>
            <w:shd w:val="clear" w:color="auto" w:fill="auto"/>
            <w:vAlign w:val="center"/>
          </w:tcPr>
          <w:p w14:paraId="16369D2B">
            <w:pPr>
              <w:jc w:val="center"/>
              <w:rPr>
                <w:rFonts w:hint="eastAsia" w:ascii="宋体" w:hAnsi="宋体" w:eastAsia="宋体" w:cs="宋体"/>
                <w:i w:val="0"/>
                <w:iCs w:val="0"/>
                <w:color w:val="000000"/>
                <w:sz w:val="20"/>
                <w:szCs w:val="20"/>
                <w:u w:val="none"/>
              </w:rPr>
            </w:pPr>
          </w:p>
        </w:tc>
        <w:tc>
          <w:tcPr>
            <w:tcW w:w="689" w:type="pct"/>
            <w:shd w:val="clear" w:color="auto" w:fill="auto"/>
            <w:vAlign w:val="center"/>
          </w:tcPr>
          <w:p w14:paraId="1097910A">
            <w:pPr>
              <w:jc w:val="center"/>
              <w:rPr>
                <w:rFonts w:hint="eastAsia" w:ascii="宋体" w:hAnsi="宋体" w:eastAsia="宋体" w:cs="宋体"/>
                <w:i w:val="0"/>
                <w:iCs w:val="0"/>
                <w:color w:val="000000"/>
                <w:sz w:val="20"/>
                <w:szCs w:val="20"/>
                <w:u w:val="none"/>
              </w:rPr>
            </w:pPr>
          </w:p>
        </w:tc>
      </w:tr>
      <w:tr w14:paraId="3F3C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3451" w:type="pct"/>
            <w:gridSpan w:val="6"/>
            <w:shd w:val="clear" w:color="auto" w:fill="auto"/>
            <w:vAlign w:val="center"/>
          </w:tcPr>
          <w:p w14:paraId="134CB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276" w:type="pct"/>
            <w:shd w:val="clear" w:color="auto" w:fill="auto"/>
            <w:vAlign w:val="center"/>
          </w:tcPr>
          <w:p w14:paraId="6EBD6D50">
            <w:pPr>
              <w:jc w:val="center"/>
              <w:rPr>
                <w:rFonts w:hint="eastAsia" w:ascii="宋体" w:hAnsi="宋体" w:eastAsia="宋体" w:cs="宋体"/>
                <w:i w:val="0"/>
                <w:iCs w:val="0"/>
                <w:color w:val="000000"/>
                <w:sz w:val="20"/>
                <w:szCs w:val="20"/>
                <w:u w:val="none"/>
              </w:rPr>
            </w:pPr>
          </w:p>
        </w:tc>
        <w:tc>
          <w:tcPr>
            <w:tcW w:w="582" w:type="pct"/>
            <w:shd w:val="clear" w:color="auto" w:fill="auto"/>
            <w:vAlign w:val="center"/>
          </w:tcPr>
          <w:p w14:paraId="3D17CBD5">
            <w:pPr>
              <w:jc w:val="center"/>
              <w:rPr>
                <w:rFonts w:hint="eastAsia" w:ascii="宋体" w:hAnsi="宋体" w:eastAsia="宋体" w:cs="宋体"/>
                <w:i w:val="0"/>
                <w:iCs w:val="0"/>
                <w:color w:val="000000"/>
                <w:sz w:val="20"/>
                <w:szCs w:val="20"/>
                <w:u w:val="none"/>
              </w:rPr>
            </w:pPr>
          </w:p>
        </w:tc>
        <w:tc>
          <w:tcPr>
            <w:tcW w:w="689" w:type="pct"/>
            <w:shd w:val="clear" w:color="auto" w:fill="auto"/>
            <w:vAlign w:val="center"/>
          </w:tcPr>
          <w:p w14:paraId="3E4E6796">
            <w:pPr>
              <w:jc w:val="center"/>
              <w:rPr>
                <w:rFonts w:hint="eastAsia" w:ascii="宋体" w:hAnsi="宋体" w:eastAsia="宋体" w:cs="宋体"/>
                <w:i w:val="0"/>
                <w:iCs w:val="0"/>
                <w:color w:val="000000"/>
                <w:sz w:val="20"/>
                <w:szCs w:val="20"/>
                <w:u w:val="none"/>
              </w:rPr>
            </w:pPr>
          </w:p>
        </w:tc>
      </w:tr>
      <w:tr w14:paraId="1EE88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5000" w:type="pct"/>
            <w:gridSpan w:val="9"/>
            <w:vMerge w:val="restart"/>
            <w:shd w:val="clear" w:color="auto" w:fill="auto"/>
            <w:vAlign w:val="center"/>
          </w:tcPr>
          <w:p w14:paraId="3F2367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tc>
      </w:tr>
      <w:tr w14:paraId="11CC7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000" w:type="pct"/>
            <w:gridSpan w:val="9"/>
            <w:vMerge w:val="continue"/>
            <w:shd w:val="clear" w:color="auto" w:fill="auto"/>
            <w:vAlign w:val="center"/>
          </w:tcPr>
          <w:p w14:paraId="56DC9337">
            <w:pPr>
              <w:jc w:val="left"/>
              <w:rPr>
                <w:rFonts w:hint="eastAsia" w:ascii="宋体" w:hAnsi="宋体" w:eastAsia="宋体" w:cs="宋体"/>
                <w:i w:val="0"/>
                <w:iCs w:val="0"/>
                <w:color w:val="000000"/>
                <w:sz w:val="22"/>
                <w:szCs w:val="22"/>
                <w:u w:val="none"/>
              </w:rPr>
            </w:pPr>
          </w:p>
        </w:tc>
      </w:tr>
      <w:tr w14:paraId="7F1B0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5000" w:type="pct"/>
            <w:gridSpan w:val="9"/>
            <w:vMerge w:val="continue"/>
            <w:shd w:val="clear" w:color="auto" w:fill="auto"/>
            <w:vAlign w:val="center"/>
          </w:tcPr>
          <w:p w14:paraId="32D5C14B">
            <w:pPr>
              <w:jc w:val="left"/>
              <w:rPr>
                <w:rFonts w:hint="eastAsia" w:ascii="宋体" w:hAnsi="宋体" w:eastAsia="宋体" w:cs="宋体"/>
                <w:i w:val="0"/>
                <w:iCs w:val="0"/>
                <w:color w:val="000000"/>
                <w:sz w:val="22"/>
                <w:szCs w:val="22"/>
                <w:u w:val="none"/>
              </w:rPr>
            </w:pPr>
          </w:p>
        </w:tc>
      </w:tr>
      <w:tr w14:paraId="0906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0" w:hRule="atLeast"/>
        </w:trPr>
        <w:tc>
          <w:tcPr>
            <w:tcW w:w="5000" w:type="pct"/>
            <w:gridSpan w:val="9"/>
            <w:vMerge w:val="continue"/>
            <w:shd w:val="clear" w:color="auto" w:fill="auto"/>
            <w:vAlign w:val="center"/>
          </w:tcPr>
          <w:p w14:paraId="2F1CCAA1">
            <w:pPr>
              <w:jc w:val="left"/>
              <w:rPr>
                <w:rFonts w:hint="eastAsia" w:ascii="宋体" w:hAnsi="宋体" w:eastAsia="宋体" w:cs="宋体"/>
                <w:i w:val="0"/>
                <w:iCs w:val="0"/>
                <w:color w:val="000000"/>
                <w:sz w:val="22"/>
                <w:szCs w:val="22"/>
                <w:u w:val="none"/>
              </w:rPr>
            </w:pPr>
          </w:p>
        </w:tc>
      </w:tr>
    </w:tbl>
    <w:p w14:paraId="49A7C12F">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i w:val="0"/>
          <w:iCs w:val="0"/>
          <w:caps w:val="0"/>
          <w:spacing w:val="0"/>
          <w:kern w:val="2"/>
          <w:sz w:val="28"/>
          <w:szCs w:val="28"/>
          <w:highlight w:val="none"/>
          <w:lang w:val="en-US" w:eastAsia="zh-CN" w:bidi="ar-SA"/>
        </w:rPr>
      </w:pPr>
      <w:r>
        <w:rPr>
          <w:rFonts w:hint="eastAsia" w:asciiTheme="minorEastAsia" w:hAnsiTheme="minorEastAsia" w:cstheme="minorEastAsia"/>
          <w:i w:val="0"/>
          <w:iCs w:val="0"/>
          <w:caps w:val="0"/>
          <w:spacing w:val="0"/>
          <w:kern w:val="2"/>
          <w:sz w:val="28"/>
          <w:szCs w:val="28"/>
          <w:highlight w:val="none"/>
          <w:lang w:val="en-US" w:eastAsia="zh-CN" w:bidi="ar-SA"/>
        </w:rPr>
        <w:t>采购人要求：</w:t>
      </w:r>
    </w:p>
    <w:p w14:paraId="4392722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b w:val="0"/>
          <w:bCs w:val="0"/>
          <w:kern w:val="2"/>
          <w:sz w:val="28"/>
          <w:szCs w:val="28"/>
          <w:highlight w:val="none"/>
          <w:lang w:val="en-US" w:eastAsia="zh-CN"/>
        </w:rPr>
      </w:pPr>
      <w:r>
        <w:rPr>
          <w:rFonts w:hint="eastAsia" w:asciiTheme="minorEastAsia" w:hAnsiTheme="minorEastAsia" w:eastAsiaTheme="minorEastAsia" w:cstheme="minorEastAsia"/>
          <w:b w:val="0"/>
          <w:bCs w:val="0"/>
          <w:kern w:val="2"/>
          <w:sz w:val="28"/>
          <w:szCs w:val="28"/>
          <w:highlight w:val="none"/>
          <w:lang w:val="en-US" w:eastAsia="zh-CN"/>
        </w:rPr>
        <w:t>1.物资材料验收时供应商需提供产品质量合格证明文件或第三方检测报告或出厂检测合格报告等能够证明产品质量合格的文件资料；</w:t>
      </w:r>
    </w:p>
    <w:p w14:paraId="7E214C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b w:val="0"/>
          <w:bCs w:val="0"/>
          <w:kern w:val="2"/>
          <w:sz w:val="28"/>
          <w:szCs w:val="28"/>
          <w:highlight w:val="none"/>
          <w:lang w:val="en-US" w:eastAsia="zh-CN"/>
        </w:rPr>
      </w:pPr>
      <w:r>
        <w:rPr>
          <w:rFonts w:hint="eastAsia" w:asciiTheme="minorEastAsia" w:hAnsiTheme="minorEastAsia" w:eastAsiaTheme="minorEastAsia" w:cstheme="minorEastAsia"/>
          <w:b w:val="0"/>
          <w:bCs w:val="0"/>
          <w:kern w:val="2"/>
          <w:sz w:val="28"/>
          <w:szCs w:val="28"/>
          <w:highlight w:val="none"/>
          <w:lang w:val="en-US" w:eastAsia="zh-CN"/>
        </w:rPr>
        <w:t>2.供应商所投产品应满足图纸设计要求，产品参数及产品说明，否则响应文件无效。</w:t>
      </w:r>
    </w:p>
    <w:p w14:paraId="5C81DA0D">
      <w:pPr>
        <w:widowControl w:val="0"/>
        <w:wordWrap w:val="0"/>
        <w:spacing w:line="480" w:lineRule="exact"/>
        <w:ind w:firstLine="560" w:firstLineChars="200"/>
        <w:jc w:val="both"/>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b w:val="0"/>
          <w:bCs w:val="0"/>
          <w:kern w:val="2"/>
          <w:sz w:val="28"/>
          <w:szCs w:val="28"/>
          <w:highlight w:val="none"/>
          <w:lang w:val="en-US" w:eastAsia="zh-CN"/>
        </w:rPr>
        <w:t>3.供应商的响应报价应包括为完成本次采购内容所需的人工费、材料费、装车费、装车至采购人指定工地现场运输费、超时等候费用、税金、保险费、利润、检测费、协调费、风险金等所有费用。</w:t>
      </w:r>
    </w:p>
    <w:p w14:paraId="13400031">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val="0"/>
        <w:overflowPunct/>
        <w:topLinePunct w:val="0"/>
        <w:autoSpaceDE/>
        <w:autoSpaceDN/>
        <w:bidi w:val="0"/>
        <w:adjustRightInd/>
        <w:snapToGrid/>
        <w:spacing w:before="0" w:beforeAutospacing="0" w:after="0" w:afterAutospacing="0" w:line="440" w:lineRule="exact"/>
        <w:ind w:left="0" w:right="0" w:firstLine="560" w:firstLineChars="200"/>
        <w:textAlignment w:val="auto"/>
        <w:rPr>
          <w:rFonts w:hint="default" w:asciiTheme="minorEastAsia" w:hAnsiTheme="minorEastAsia" w:eastAsiaTheme="minorEastAsia" w:cstheme="minorEastAsia"/>
          <w:i w:val="0"/>
          <w:iCs w:val="0"/>
          <w:caps w:val="0"/>
          <w:spacing w:val="0"/>
          <w:kern w:val="2"/>
          <w:sz w:val="28"/>
          <w:szCs w:val="28"/>
          <w:highlight w:val="none"/>
          <w:lang w:eastAsia="zh-CN" w:bidi="ar-SA"/>
        </w:rPr>
      </w:pPr>
    </w:p>
    <w:p w14:paraId="400E38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14:paraId="212E36E8">
      <w:pPr>
        <w:pStyle w:val="7"/>
        <w:rPr>
          <w:rFonts w:hint="default"/>
          <w:lang w:val="en-US" w:eastAsia="zh-CN"/>
        </w:rPr>
      </w:pPr>
    </w:p>
    <w:p w14:paraId="07CFC9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029F5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637AC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2DC19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8DA8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EE9E8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59C7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3E7F6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EAC6C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B6B94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2C2CC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5B3AD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E139F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98B76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A19F4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E625E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5CB4E6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B7999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DE795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B02C2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C777B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5C3FD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237A4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D965B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084C6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文化公园首末站290kW光储充一体化项目储能设备及充电桩采购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ATRD-2026-07号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5787"/>
      <w:bookmarkStart w:id="243" w:name="_Toc300835209"/>
      <w:bookmarkStart w:id="244" w:name="_Toc152042576"/>
      <w:bookmarkStart w:id="245" w:name="_Toc14497485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247527828"/>
      <w:bookmarkStart w:id="249" w:name="_Toc152045788"/>
      <w:bookmarkStart w:id="250" w:name="_Toc144974857"/>
      <w:bookmarkStart w:id="251" w:name="_Toc15204257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300835212"/>
      <w:bookmarkStart w:id="255" w:name="_Toc144974859"/>
      <w:bookmarkStart w:id="256" w:name="_Toc247527830"/>
      <w:bookmarkStart w:id="257" w:name="_Toc152042579"/>
      <w:bookmarkStart w:id="258" w:name="_Toc152045790"/>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000000" w:themeColor="text1"/>
          <w:szCs w:val="21"/>
          <w:u w:val="single"/>
          <w:lang w:val="en-US" w:eastAsia="zh-CN"/>
          <w14:textFill>
            <w14:solidFill>
              <w14:schemeClr w14:val="tx1"/>
            </w14:solidFill>
          </w14:textFill>
        </w:rPr>
        <w:t>文化公园首末站290kW光储充一体化项目储能设备及充电桩采购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ATRD-2026-07号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2"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2"/>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供货期：采购人提交采购需求后7日历天内完成供货，按合同约定完成本项目全部工作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44974860"/>
      <w:bookmarkStart w:id="260" w:name="_Toc152042580"/>
      <w:bookmarkStart w:id="261" w:name="_Toc247527831"/>
      <w:bookmarkStart w:id="262" w:name="_Toc152045791"/>
      <w:bookmarkStart w:id="263" w:name="_Toc247514283"/>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300835214"/>
      <w:bookmarkStart w:id="267" w:name="_Toc152042581"/>
      <w:bookmarkStart w:id="268" w:name="_Toc247514284"/>
      <w:bookmarkStart w:id="269" w:name="_Toc152045792"/>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2583"/>
      <w:bookmarkStart w:id="273" w:name="_Toc247527834"/>
      <w:bookmarkStart w:id="274" w:name="_Toc247514286"/>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247527835"/>
      <w:bookmarkStart w:id="280" w:name="_Toc144974863"/>
      <w:bookmarkStart w:id="281" w:name="_Toc300835218"/>
      <w:bookmarkStart w:id="282" w:name="_Toc152042584"/>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117DA776">
      <w:pPr>
        <w:pStyle w:val="3"/>
        <w:numPr>
          <w:ilvl w:val="0"/>
          <w:numId w:val="0"/>
        </w:numPr>
        <w:jc w:val="center"/>
        <w:rPr>
          <w:rFonts w:hint="eastAsia"/>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p w14:paraId="721F2D4A">
      <w:pPr>
        <w:numPr>
          <w:ilvl w:val="0"/>
          <w:numId w:val="0"/>
        </w:numPr>
        <w:rPr>
          <w:rFonts w:hint="eastAsia"/>
          <w:lang w:val="en-US" w:eastAsia="zh-CN"/>
        </w:rPr>
      </w:pP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90"/>
        <w:gridCol w:w="578"/>
        <w:gridCol w:w="2549"/>
        <w:gridCol w:w="626"/>
        <w:gridCol w:w="791"/>
        <w:gridCol w:w="946"/>
        <w:gridCol w:w="475"/>
        <w:gridCol w:w="991"/>
        <w:gridCol w:w="1176"/>
      </w:tblGrid>
      <w:tr w14:paraId="585A4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5000" w:type="pct"/>
            <w:gridSpan w:val="9"/>
            <w:shd w:val="clear" w:color="auto" w:fill="auto"/>
            <w:noWrap/>
            <w:vAlign w:val="center"/>
          </w:tcPr>
          <w:p w14:paraId="36BDF2A7">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文化公园首末站290kW光储充一体化项目储能设备及充电桩报价表</w:t>
            </w:r>
          </w:p>
        </w:tc>
      </w:tr>
      <w:tr w14:paraId="2182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215" w:type="pct"/>
            <w:shd w:val="clear" w:color="auto" w:fill="auto"/>
            <w:vAlign w:val="center"/>
          </w:tcPr>
          <w:p w14:paraId="1653A02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333" w:type="pct"/>
            <w:shd w:val="clear" w:color="auto" w:fill="auto"/>
            <w:vAlign w:val="center"/>
          </w:tcPr>
          <w:p w14:paraId="629E9E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1528" w:type="pct"/>
            <w:shd w:val="clear" w:color="auto" w:fill="auto"/>
            <w:vAlign w:val="center"/>
          </w:tcPr>
          <w:p w14:paraId="30397E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项目特征描述</w:t>
            </w:r>
          </w:p>
        </w:tc>
        <w:tc>
          <w:tcPr>
            <w:tcW w:w="362" w:type="pct"/>
            <w:shd w:val="clear" w:color="auto" w:fill="auto"/>
            <w:vAlign w:val="center"/>
          </w:tcPr>
          <w:p w14:paraId="14D11B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计量单位</w:t>
            </w:r>
          </w:p>
        </w:tc>
        <w:tc>
          <w:tcPr>
            <w:tcW w:w="462" w:type="pct"/>
            <w:shd w:val="clear" w:color="auto" w:fill="auto"/>
            <w:vAlign w:val="center"/>
          </w:tcPr>
          <w:p w14:paraId="63F33C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工程量</w:t>
            </w:r>
          </w:p>
        </w:tc>
        <w:tc>
          <w:tcPr>
            <w:tcW w:w="554" w:type="pct"/>
            <w:shd w:val="clear" w:color="auto" w:fill="auto"/>
            <w:vAlign w:val="center"/>
          </w:tcPr>
          <w:p w14:paraId="6E079B6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单价（元/单位；含税）</w:t>
            </w:r>
          </w:p>
        </w:tc>
        <w:tc>
          <w:tcPr>
            <w:tcW w:w="266" w:type="pct"/>
            <w:shd w:val="clear" w:color="auto" w:fill="auto"/>
            <w:vAlign w:val="center"/>
          </w:tcPr>
          <w:p w14:paraId="4C84B3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83" w:type="pct"/>
            <w:shd w:val="clear" w:color="auto" w:fill="auto"/>
            <w:vAlign w:val="center"/>
          </w:tcPr>
          <w:p w14:paraId="4ADEE8D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小计（元；含税）</w:t>
            </w:r>
          </w:p>
        </w:tc>
        <w:tc>
          <w:tcPr>
            <w:tcW w:w="694" w:type="pct"/>
            <w:shd w:val="clear" w:color="auto" w:fill="auto"/>
            <w:vAlign w:val="center"/>
          </w:tcPr>
          <w:p w14:paraId="56E9B9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品牌 </w:t>
            </w:r>
          </w:p>
        </w:tc>
      </w:tr>
      <w:tr w14:paraId="253F7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215" w:type="pct"/>
            <w:shd w:val="clear" w:color="auto" w:fill="auto"/>
            <w:vAlign w:val="center"/>
          </w:tcPr>
          <w:p w14:paraId="1A154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3" w:type="pct"/>
            <w:shd w:val="clear" w:color="auto" w:fill="auto"/>
            <w:vAlign w:val="center"/>
          </w:tcPr>
          <w:p w14:paraId="48514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储能柜</w:t>
            </w:r>
          </w:p>
        </w:tc>
        <w:tc>
          <w:tcPr>
            <w:tcW w:w="1528" w:type="pct"/>
            <w:shd w:val="clear" w:color="auto" w:fill="auto"/>
            <w:vAlign w:val="center"/>
          </w:tcPr>
          <w:p w14:paraId="2AD75C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1、名称：储能柜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2、规格： 108kW/241kWh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2" w:type="pct"/>
            <w:shd w:val="clear" w:color="auto" w:fill="auto"/>
            <w:vAlign w:val="center"/>
          </w:tcPr>
          <w:p w14:paraId="25352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462" w:type="pct"/>
            <w:shd w:val="clear" w:color="auto" w:fill="auto"/>
            <w:vAlign w:val="center"/>
          </w:tcPr>
          <w:p w14:paraId="495C1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4" w:type="pct"/>
            <w:shd w:val="clear" w:color="auto" w:fill="auto"/>
            <w:vAlign w:val="center"/>
          </w:tcPr>
          <w:p w14:paraId="68228FD4">
            <w:pPr>
              <w:jc w:val="center"/>
              <w:rPr>
                <w:rFonts w:hint="eastAsia" w:ascii="宋体" w:hAnsi="宋体" w:eastAsia="宋体" w:cs="宋体"/>
                <w:i w:val="0"/>
                <w:iCs w:val="0"/>
                <w:color w:val="000000"/>
                <w:sz w:val="20"/>
                <w:szCs w:val="20"/>
                <w:u w:val="none"/>
              </w:rPr>
            </w:pPr>
          </w:p>
        </w:tc>
        <w:tc>
          <w:tcPr>
            <w:tcW w:w="266" w:type="pct"/>
            <w:shd w:val="clear" w:color="auto" w:fill="auto"/>
            <w:vAlign w:val="center"/>
          </w:tcPr>
          <w:p w14:paraId="7E49B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3" w:type="pct"/>
            <w:shd w:val="clear" w:color="auto" w:fill="auto"/>
            <w:vAlign w:val="center"/>
          </w:tcPr>
          <w:p w14:paraId="12D1A04B">
            <w:pPr>
              <w:jc w:val="center"/>
              <w:rPr>
                <w:rFonts w:hint="eastAsia" w:ascii="宋体" w:hAnsi="宋体" w:eastAsia="宋体" w:cs="宋体"/>
                <w:i w:val="0"/>
                <w:iCs w:val="0"/>
                <w:color w:val="000000"/>
                <w:sz w:val="20"/>
                <w:szCs w:val="20"/>
                <w:u w:val="none"/>
              </w:rPr>
            </w:pPr>
          </w:p>
        </w:tc>
        <w:tc>
          <w:tcPr>
            <w:tcW w:w="694" w:type="pct"/>
            <w:shd w:val="clear" w:color="auto" w:fill="auto"/>
            <w:vAlign w:val="center"/>
          </w:tcPr>
          <w:p w14:paraId="043A72C5">
            <w:pPr>
              <w:jc w:val="center"/>
              <w:rPr>
                <w:rFonts w:hint="eastAsia" w:ascii="宋体" w:hAnsi="宋体" w:eastAsia="宋体" w:cs="宋体"/>
                <w:i w:val="0"/>
                <w:iCs w:val="0"/>
                <w:color w:val="000000"/>
                <w:sz w:val="20"/>
                <w:szCs w:val="20"/>
                <w:u w:val="none"/>
              </w:rPr>
            </w:pPr>
          </w:p>
        </w:tc>
      </w:tr>
      <w:tr w14:paraId="76266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0" w:hRule="atLeast"/>
        </w:trPr>
        <w:tc>
          <w:tcPr>
            <w:tcW w:w="215" w:type="pct"/>
            <w:shd w:val="clear" w:color="auto" w:fill="auto"/>
            <w:vAlign w:val="center"/>
          </w:tcPr>
          <w:p w14:paraId="42628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33" w:type="pct"/>
            <w:shd w:val="clear" w:color="auto" w:fill="auto"/>
            <w:vAlign w:val="center"/>
          </w:tcPr>
          <w:p w14:paraId="46B1E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充电桩</w:t>
            </w:r>
          </w:p>
        </w:tc>
        <w:tc>
          <w:tcPr>
            <w:tcW w:w="1528" w:type="pct"/>
            <w:shd w:val="clear" w:color="auto" w:fill="auto"/>
            <w:vAlign w:val="center"/>
          </w:tcPr>
          <w:p w14:paraId="333AFA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1、名称：充电桩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2、规格：480kW群控充电桩一套（含1机2枪充电终端4台）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3、其他未尽事宜详见图纸、采购文件、答疑文件、图集、政府相关文件及规范等其他文件</w:t>
            </w:r>
          </w:p>
        </w:tc>
        <w:tc>
          <w:tcPr>
            <w:tcW w:w="362" w:type="pct"/>
            <w:shd w:val="clear" w:color="auto" w:fill="auto"/>
            <w:vAlign w:val="center"/>
          </w:tcPr>
          <w:p w14:paraId="65B87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462" w:type="pct"/>
            <w:shd w:val="clear" w:color="auto" w:fill="auto"/>
            <w:vAlign w:val="center"/>
          </w:tcPr>
          <w:p w14:paraId="43517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4" w:type="pct"/>
            <w:shd w:val="clear" w:color="auto" w:fill="auto"/>
            <w:vAlign w:val="center"/>
          </w:tcPr>
          <w:p w14:paraId="6DCE8A85">
            <w:pPr>
              <w:jc w:val="center"/>
              <w:rPr>
                <w:rFonts w:hint="eastAsia" w:ascii="宋体" w:hAnsi="宋体" w:eastAsia="宋体" w:cs="宋体"/>
                <w:i w:val="0"/>
                <w:iCs w:val="0"/>
                <w:color w:val="000000"/>
                <w:sz w:val="20"/>
                <w:szCs w:val="20"/>
                <w:u w:val="none"/>
              </w:rPr>
            </w:pPr>
          </w:p>
        </w:tc>
        <w:tc>
          <w:tcPr>
            <w:tcW w:w="266" w:type="pct"/>
            <w:shd w:val="clear" w:color="auto" w:fill="auto"/>
            <w:vAlign w:val="center"/>
          </w:tcPr>
          <w:p w14:paraId="4F2FA5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583" w:type="pct"/>
            <w:shd w:val="clear" w:color="auto" w:fill="auto"/>
            <w:vAlign w:val="center"/>
          </w:tcPr>
          <w:p w14:paraId="210C33C9">
            <w:pPr>
              <w:jc w:val="center"/>
              <w:rPr>
                <w:rFonts w:hint="eastAsia" w:ascii="宋体" w:hAnsi="宋体" w:eastAsia="宋体" w:cs="宋体"/>
                <w:i w:val="0"/>
                <w:iCs w:val="0"/>
                <w:color w:val="000000"/>
                <w:sz w:val="20"/>
                <w:szCs w:val="20"/>
                <w:u w:val="none"/>
              </w:rPr>
            </w:pPr>
          </w:p>
        </w:tc>
        <w:tc>
          <w:tcPr>
            <w:tcW w:w="694" w:type="pct"/>
            <w:shd w:val="clear" w:color="auto" w:fill="auto"/>
            <w:vAlign w:val="center"/>
          </w:tcPr>
          <w:p w14:paraId="17EF185B">
            <w:pPr>
              <w:jc w:val="center"/>
              <w:rPr>
                <w:rFonts w:hint="eastAsia" w:ascii="宋体" w:hAnsi="宋体" w:eastAsia="宋体" w:cs="宋体"/>
                <w:i w:val="0"/>
                <w:iCs w:val="0"/>
                <w:color w:val="000000"/>
                <w:sz w:val="20"/>
                <w:szCs w:val="20"/>
                <w:u w:val="none"/>
              </w:rPr>
            </w:pPr>
          </w:p>
        </w:tc>
      </w:tr>
      <w:tr w14:paraId="1E30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trPr>
        <w:tc>
          <w:tcPr>
            <w:tcW w:w="3456" w:type="pct"/>
            <w:gridSpan w:val="6"/>
            <w:shd w:val="clear" w:color="auto" w:fill="auto"/>
            <w:vAlign w:val="center"/>
          </w:tcPr>
          <w:p w14:paraId="68379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合计（元；含税）</w:t>
            </w:r>
          </w:p>
        </w:tc>
        <w:tc>
          <w:tcPr>
            <w:tcW w:w="266" w:type="pct"/>
            <w:shd w:val="clear" w:color="auto" w:fill="auto"/>
            <w:vAlign w:val="center"/>
          </w:tcPr>
          <w:p w14:paraId="283E2CB9">
            <w:pPr>
              <w:jc w:val="center"/>
              <w:rPr>
                <w:rFonts w:hint="eastAsia" w:ascii="宋体" w:hAnsi="宋体" w:eastAsia="宋体" w:cs="宋体"/>
                <w:i w:val="0"/>
                <w:iCs w:val="0"/>
                <w:color w:val="000000"/>
                <w:sz w:val="20"/>
                <w:szCs w:val="20"/>
                <w:u w:val="none"/>
              </w:rPr>
            </w:pPr>
          </w:p>
        </w:tc>
        <w:tc>
          <w:tcPr>
            <w:tcW w:w="583" w:type="pct"/>
            <w:shd w:val="clear" w:color="auto" w:fill="auto"/>
            <w:vAlign w:val="center"/>
          </w:tcPr>
          <w:p w14:paraId="7F95BFA6">
            <w:pPr>
              <w:jc w:val="center"/>
              <w:rPr>
                <w:rFonts w:hint="eastAsia" w:ascii="宋体" w:hAnsi="宋体" w:eastAsia="宋体" w:cs="宋体"/>
                <w:i w:val="0"/>
                <w:iCs w:val="0"/>
                <w:color w:val="000000"/>
                <w:sz w:val="20"/>
                <w:szCs w:val="20"/>
                <w:u w:val="none"/>
              </w:rPr>
            </w:pPr>
          </w:p>
        </w:tc>
        <w:tc>
          <w:tcPr>
            <w:tcW w:w="694" w:type="pct"/>
            <w:shd w:val="clear" w:color="auto" w:fill="auto"/>
            <w:vAlign w:val="center"/>
          </w:tcPr>
          <w:p w14:paraId="0EE10CC0">
            <w:pPr>
              <w:jc w:val="center"/>
              <w:rPr>
                <w:rFonts w:hint="eastAsia" w:ascii="宋体" w:hAnsi="宋体" w:eastAsia="宋体" w:cs="宋体"/>
                <w:i w:val="0"/>
                <w:iCs w:val="0"/>
                <w:color w:val="000000"/>
                <w:sz w:val="20"/>
                <w:szCs w:val="20"/>
                <w:u w:val="none"/>
              </w:rPr>
            </w:pPr>
          </w:p>
        </w:tc>
      </w:tr>
      <w:tr w14:paraId="2EDD7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000" w:type="pct"/>
            <w:gridSpan w:val="9"/>
            <w:vMerge w:val="restart"/>
            <w:shd w:val="clear" w:color="auto" w:fill="auto"/>
            <w:vAlign w:val="center"/>
          </w:tcPr>
          <w:p w14:paraId="3F740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采购数量为暂定数量，具体使用数量以实际采购使用为准，据实结算；发票类型为增值税专用发票，以上单价报价采购人认为报价人已充分考虑采购所有采购要求，包括但不限于以下费用：人工费、材料费、装车费、装车至采购人指定工地现场运输费、采购人指定地超时等候费用、税金、保险费、利润、检测费、风险金等所有费用。</w:t>
            </w:r>
          </w:p>
        </w:tc>
      </w:tr>
      <w:tr w14:paraId="1C469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000" w:type="pct"/>
            <w:gridSpan w:val="9"/>
            <w:vMerge w:val="continue"/>
            <w:shd w:val="clear" w:color="auto" w:fill="auto"/>
            <w:vAlign w:val="center"/>
          </w:tcPr>
          <w:p w14:paraId="455354DB">
            <w:pPr>
              <w:jc w:val="left"/>
              <w:rPr>
                <w:rFonts w:hint="eastAsia" w:ascii="宋体" w:hAnsi="宋体" w:eastAsia="宋体" w:cs="宋体"/>
                <w:i w:val="0"/>
                <w:iCs w:val="0"/>
                <w:color w:val="000000"/>
                <w:sz w:val="22"/>
                <w:szCs w:val="22"/>
                <w:u w:val="none"/>
              </w:rPr>
            </w:pPr>
          </w:p>
        </w:tc>
      </w:tr>
      <w:tr w14:paraId="6F38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000" w:type="pct"/>
            <w:gridSpan w:val="9"/>
            <w:vMerge w:val="continue"/>
            <w:shd w:val="clear" w:color="auto" w:fill="auto"/>
            <w:vAlign w:val="center"/>
          </w:tcPr>
          <w:p w14:paraId="1F1D511D">
            <w:pPr>
              <w:jc w:val="left"/>
              <w:rPr>
                <w:rFonts w:hint="eastAsia" w:ascii="宋体" w:hAnsi="宋体" w:eastAsia="宋体" w:cs="宋体"/>
                <w:i w:val="0"/>
                <w:iCs w:val="0"/>
                <w:color w:val="000000"/>
                <w:sz w:val="22"/>
                <w:szCs w:val="22"/>
                <w:u w:val="none"/>
              </w:rPr>
            </w:pPr>
          </w:p>
        </w:tc>
      </w:tr>
      <w:tr w14:paraId="2C18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0" w:hRule="atLeast"/>
        </w:trPr>
        <w:tc>
          <w:tcPr>
            <w:tcW w:w="5000" w:type="pct"/>
            <w:gridSpan w:val="9"/>
            <w:vMerge w:val="continue"/>
            <w:shd w:val="clear" w:color="auto" w:fill="auto"/>
            <w:vAlign w:val="center"/>
          </w:tcPr>
          <w:p w14:paraId="412C49D7">
            <w:pPr>
              <w:jc w:val="left"/>
              <w:rPr>
                <w:rFonts w:hint="eastAsia" w:ascii="宋体" w:hAnsi="宋体" w:eastAsia="宋体" w:cs="宋体"/>
                <w:i w:val="0"/>
                <w:iCs w:val="0"/>
                <w:color w:val="000000"/>
                <w:sz w:val="22"/>
                <w:szCs w:val="22"/>
                <w:u w:val="none"/>
              </w:rPr>
            </w:pPr>
          </w:p>
        </w:tc>
      </w:tr>
    </w:tbl>
    <w:p w14:paraId="4887DF41">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247527836"/>
      <w:bookmarkStart w:id="286" w:name="_Toc247514288"/>
      <w:bookmarkStart w:id="287" w:name="_Toc300835221"/>
      <w:bookmarkStart w:id="288" w:name="_Toc15204579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7085891"/>
      <w:bookmarkStart w:id="293" w:name="_Toc246997116"/>
      <w:bookmarkStart w:id="294" w:name="_Toc17963282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47085888"/>
      <w:bookmarkStart w:id="298" w:name="_Toc246997113"/>
      <w:bookmarkStart w:id="299" w:name="_Toc296602615"/>
      <w:bookmarkStart w:id="300" w:name="_Toc144974878"/>
      <w:bookmarkStart w:id="301" w:name="_Toc152045810"/>
      <w:bookmarkStart w:id="302" w:name="_Toc247514302"/>
      <w:bookmarkStart w:id="303" w:name="_Toc247527850"/>
      <w:bookmarkStart w:id="304" w:name="_Toc152042599"/>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27851"/>
      <w:bookmarkStart w:id="312" w:name="_Toc152045811"/>
      <w:bookmarkStart w:id="313" w:name="_Toc247514303"/>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3、提供供应商的信用中国查询证明的复印件或扫描件，加盖供应商单位公章。</w:t>
      </w:r>
    </w:p>
    <w:p w14:paraId="17D5223A">
      <w:pPr>
        <w:tabs>
          <w:tab w:val="left" w:pos="720"/>
        </w:tabs>
        <w:spacing w:line="440" w:lineRule="exact"/>
        <w:ind w:left="420" w:leftChars="200" w:firstLine="0" w:firstLineChars="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4、</w:t>
      </w:r>
      <w:r>
        <w:rPr>
          <w:rFonts w:hint="default" w:ascii="Times New Roman" w:hAnsi="Times New Roman"/>
          <w:b/>
          <w:bCs/>
          <w:color w:val="FF0000"/>
          <w:lang w:val="en-US" w:eastAsia="zh-CN"/>
        </w:rPr>
        <w:t>供应商采提供</w:t>
      </w:r>
      <w:r>
        <w:rPr>
          <w:rFonts w:hint="eastAsia" w:ascii="Times New Roman" w:hAnsi="Times New Roman"/>
          <w:b/>
          <w:bCs/>
          <w:color w:val="FF0000"/>
          <w:lang w:val="en-US" w:eastAsia="zh-CN"/>
        </w:rPr>
        <w:t>所投产品的产品参数及产品说明</w:t>
      </w:r>
      <w:r>
        <w:rPr>
          <w:rFonts w:hint="default" w:ascii="Times New Roman" w:hAnsi="Times New Roman"/>
          <w:b/>
          <w:bCs/>
          <w:color w:val="FF0000"/>
          <w:lang w:val="en-US" w:eastAsia="zh-CN"/>
        </w:rPr>
        <w:t>技术证明材料，以证明响应产品</w:t>
      </w:r>
      <w:r>
        <w:rPr>
          <w:rFonts w:hint="eastAsia" w:ascii="Times New Roman" w:hAnsi="Times New Roman"/>
          <w:b/>
          <w:bCs/>
          <w:color w:val="FF0000"/>
          <w:lang w:val="en-US" w:eastAsia="zh-CN"/>
        </w:rPr>
        <w:t>满足图纸设计要求，</w:t>
      </w:r>
      <w:r>
        <w:rPr>
          <w:rFonts w:hint="default" w:ascii="Times New Roman" w:hAnsi="Times New Roman"/>
          <w:b/>
          <w:bCs/>
          <w:color w:val="FF0000"/>
          <w:lang w:val="en-US" w:eastAsia="zh-CN"/>
        </w:rPr>
        <w:t>否则其响应无效</w:t>
      </w:r>
      <w:r>
        <w:rPr>
          <w:rFonts w:hint="eastAsia" w:ascii="Times New Roman" w:hAnsi="Times New Roman"/>
          <w:b/>
          <w:bCs/>
          <w:color w:val="FF0000"/>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EFC877B-F7CE-45E0-ABB5-38E62A5CD38B}"/>
  </w:font>
  <w:font w:name="Arial">
    <w:panose1 w:val="020B0604020202020204"/>
    <w:charset w:val="01"/>
    <w:family w:val="swiss"/>
    <w:pitch w:val="default"/>
    <w:sig w:usb0="E0002EFF" w:usb1="C000785B" w:usb2="00000009" w:usb3="00000000" w:csb0="400001FF" w:csb1="FFFF0000"/>
    <w:embedRegular r:id="rId2" w:fontKey="{164E122C-3CDA-4BCE-812E-76EFA9F56D7C}"/>
  </w:font>
  <w:font w:name="黑体">
    <w:panose1 w:val="02010609060101010101"/>
    <w:charset w:val="86"/>
    <w:family w:val="auto"/>
    <w:pitch w:val="default"/>
    <w:sig w:usb0="800002BF" w:usb1="38CF7CFA" w:usb2="00000016" w:usb3="00000000" w:csb0="00040001" w:csb1="00000000"/>
    <w:embedRegular r:id="rId3" w:fontKey="{79294241-2A12-4609-B1B8-9AE1B392D18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D7F0267A-FFAD-4271-8136-916356A3397A}"/>
  </w:font>
  <w:font w:name="仿宋_GB2312">
    <w:panose1 w:val="02010609030101010101"/>
    <w:charset w:val="86"/>
    <w:family w:val="modern"/>
    <w:pitch w:val="default"/>
    <w:sig w:usb0="00000001" w:usb1="080E0000" w:usb2="00000000" w:usb3="00000000" w:csb0="00040000" w:csb1="00000000"/>
    <w:embedRegular r:id="rId5" w:fontKey="{9C761B9B-1055-4387-ACAB-1AC5092D113C}"/>
  </w:font>
  <w:font w:name="方正小标宋简体">
    <w:panose1 w:val="03000509000000000000"/>
    <w:charset w:val="86"/>
    <w:family w:val="auto"/>
    <w:pitch w:val="default"/>
    <w:sig w:usb0="00000001" w:usb1="080E0000" w:usb2="00000000" w:usb3="00000000" w:csb0="00040000" w:csb1="00000000"/>
    <w:embedRegular r:id="rId6" w:fontKey="{2FA07521-C47B-4055-BE65-8B7E9AFFC06C}"/>
  </w:font>
  <w:font w:name="楷体">
    <w:panose1 w:val="02010609060101010101"/>
    <w:charset w:val="86"/>
    <w:family w:val="auto"/>
    <w:pitch w:val="default"/>
    <w:sig w:usb0="800002BF" w:usb1="38CF7CFA" w:usb2="00000016" w:usb3="00000000" w:csb0="00040001" w:csb1="00000000"/>
    <w:embedRegular r:id="rId7" w:fontKey="{38EA83F8-F288-40DA-95B8-5E10B14D3FD7}"/>
  </w:font>
  <w:font w:name="Wingdings 2">
    <w:panose1 w:val="05020102010507070707"/>
    <w:charset w:val="00"/>
    <w:family w:val="auto"/>
    <w:pitch w:val="default"/>
    <w:sig w:usb0="00000000" w:usb1="00000000" w:usb2="00000000" w:usb3="00000000" w:csb0="80000000" w:csb1="00000000"/>
    <w:embedRegular r:id="rId8" w:fontKey="{7C1DA4BF-FEC2-44E0-97FC-B0E932267712}"/>
  </w:font>
  <w:font w:name="方正仿宋_GB2312">
    <w:panose1 w:val="02000000000000000000"/>
    <w:charset w:val="86"/>
    <w:family w:val="auto"/>
    <w:pitch w:val="default"/>
    <w:sig w:usb0="A00002BF" w:usb1="184F6CFA" w:usb2="00000012" w:usb3="00000000" w:csb0="00040001" w:csb1="00000000"/>
    <w:embedRegular r:id="rId9" w:fontKey="{B821B3B4-A39C-45CE-8316-2DDC85FF6020}"/>
  </w:font>
  <w:font w:name="仿宋">
    <w:panose1 w:val="02010609060101010101"/>
    <w:charset w:val="86"/>
    <w:family w:val="modern"/>
    <w:pitch w:val="default"/>
    <w:sig w:usb0="800002BF" w:usb1="38CF7CFA" w:usb2="00000016" w:usb3="00000000" w:csb0="00040001" w:csb1="00000000"/>
    <w:embedRegular r:id="rId10" w:fontKey="{7F18A05C-C91E-489F-8EA7-B5244673ABB9}"/>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018BD3"/>
    <w:multiLevelType w:val="singleLevel"/>
    <w:tmpl w:val="3E018BD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708F6"/>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7E494A"/>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B5316"/>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1244B"/>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3D7AF5"/>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B570DA"/>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26508"/>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D668E1"/>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4535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665CE"/>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71E09"/>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74DE4"/>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AF48B9"/>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04295"/>
    <w:rsid w:val="6044067F"/>
    <w:rsid w:val="604E20EA"/>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A77A4"/>
    <w:rsid w:val="68D60630"/>
    <w:rsid w:val="68E00D76"/>
    <w:rsid w:val="68ED6FEF"/>
    <w:rsid w:val="68F00432"/>
    <w:rsid w:val="68F8555D"/>
    <w:rsid w:val="691D712E"/>
    <w:rsid w:val="6931512E"/>
    <w:rsid w:val="693D7F76"/>
    <w:rsid w:val="69434E61"/>
    <w:rsid w:val="697E7396"/>
    <w:rsid w:val="69916139"/>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162E7"/>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6D5375"/>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04AE4"/>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C0277B"/>
    <w:rsid w:val="7EE53C64"/>
    <w:rsid w:val="7F030EC3"/>
    <w:rsid w:val="7F541580"/>
    <w:rsid w:val="7F590594"/>
    <w:rsid w:val="7F667225"/>
    <w:rsid w:val="7F7B2EF8"/>
    <w:rsid w:val="7F7C7C94"/>
    <w:rsid w:val="7F7E49ED"/>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13371</Words>
  <Characters>14351</Characters>
  <Lines>0</Lines>
  <Paragraphs>0</Paragraphs>
  <TotalTime>1</TotalTime>
  <ScaleCrop>false</ScaleCrop>
  <LinksUpToDate>false</LinksUpToDate>
  <CharactersWithSpaces>14500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2026-02-02T07:47:00Z</cp:lastPrinted>
  <dcterms:modified xsi:type="dcterms:W3CDTF">2026-04-23T07:47:02Z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