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FD067A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华佗中医药文化传承创新示范项目配套服务用房工程</w:t>
      </w:r>
    </w:p>
    <w:p w14:paraId="73A0F1D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ALC轻质隔墙板采购（二次）</w:t>
      </w:r>
    </w:p>
    <w:p w14:paraId="097D0E2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BZJKTL-2026-04号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亳州交控通路交通设施有限公司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2026年4</w:t>
      </w:r>
      <w:r>
        <w:rPr>
          <w:rFonts w:hint="eastAsia" w:ascii="Times New Roman" w:hAnsi="Times New Roman" w:eastAsia="楷体" w:cs="Times New Roman"/>
          <w:kern w:val="0"/>
          <w:sz w:val="32"/>
          <w:szCs w:val="32"/>
          <w:highlight w:val="none"/>
          <w:u w:val="none"/>
          <w:shd w:val="clear" w:color="auto" w:fill="auto"/>
          <w:lang w:val="en-US" w:eastAsia="zh-CN"/>
        </w:rPr>
        <w:t>月30日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华佗中医药文化传承创新示范项目配套服务用房工程ALC轻质隔墙板采购（二次）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华佗中医药文化传承创新示范项目配套服务用房工程ALC轻质隔墙板采购（二次）</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BZJKTL-2026-04号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亳州交控通路交通设施有限公司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6FFC6B3D">
      <w:pPr>
        <w:tabs>
          <w:tab w:val="left" w:pos="740"/>
        </w:tabs>
        <w:spacing w:line="480" w:lineRule="exact"/>
        <w:ind w:firstLine="560"/>
        <w:rPr>
          <w:rFonts w:asciiTheme="minorEastAsia" w:hAnsiTheme="minorEastAsia" w:eastAsiaTheme="minorEastAsia" w:cstheme="minorEastAsia"/>
          <w:kern w:val="2"/>
          <w:sz w:val="28"/>
          <w:szCs w:val="28"/>
          <w:lang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含税</w:t>
      </w:r>
      <w:r>
        <w:rPr>
          <w:rFonts w:hint="eastAsia" w:asciiTheme="minorEastAsia" w:hAnsiTheme="minorEastAsia" w:cstheme="minorEastAsia"/>
          <w:color w:val="FF0000"/>
          <w:kern w:val="2"/>
          <w:sz w:val="28"/>
          <w:szCs w:val="28"/>
          <w:highlight w:val="none"/>
          <w:lang w:val="en-US" w:eastAsia="zh-CN"/>
        </w:rPr>
        <w:t>，13%</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476000</w:t>
      </w:r>
      <w:r>
        <w:rPr>
          <w:rFonts w:hint="eastAsia" w:asciiTheme="minorEastAsia" w:hAnsiTheme="minorEastAsia" w:eastAsiaTheme="minorEastAsia" w:cstheme="minorEastAsia"/>
          <w:color w:val="FF0000"/>
          <w:kern w:val="2"/>
          <w:sz w:val="28"/>
          <w:szCs w:val="28"/>
          <w:highlight w:val="none"/>
          <w:lang w:eastAsia="zh-CN"/>
        </w:rPr>
        <w:t>元</w:t>
      </w:r>
      <w:r>
        <w:rPr>
          <w:rFonts w:hint="eastAsia" w:asciiTheme="minorEastAsia" w:hAnsiTheme="minorEastAsia" w:eastAsiaTheme="minorEastAsia" w:cstheme="minorEastAsia"/>
          <w:kern w:val="2"/>
          <w:sz w:val="28"/>
          <w:szCs w:val="28"/>
          <w:lang w:eastAsia="zh-CN"/>
        </w:rPr>
        <w:t>，供应商根据采购清单按含税</w:t>
      </w:r>
      <w:r>
        <w:rPr>
          <w:rFonts w:hint="eastAsia" w:asciiTheme="minorEastAsia" w:hAnsiTheme="minorEastAsia" w:eastAsiaTheme="minorEastAsia" w:cstheme="minorEastAsia"/>
          <w:color w:val="FF0000"/>
          <w:kern w:val="2"/>
          <w:sz w:val="28"/>
          <w:szCs w:val="28"/>
          <w:lang w:eastAsia="zh-CN"/>
        </w:rPr>
        <w:t>固定单价</w:t>
      </w:r>
      <w:r>
        <w:rPr>
          <w:rFonts w:hint="eastAsia" w:asciiTheme="minorEastAsia" w:hAnsiTheme="minorEastAsia" w:eastAsiaTheme="minorEastAsia" w:cstheme="minorEastAsia"/>
          <w:kern w:val="2"/>
          <w:sz w:val="28"/>
          <w:szCs w:val="28"/>
          <w:lang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4C004230">
      <w:pPr>
        <w:wordWrap w:val="0"/>
        <w:spacing w:line="480" w:lineRule="exact"/>
        <w:ind w:firstLine="560" w:firstLineChars="200"/>
        <w:jc w:val="both"/>
        <w:rPr>
          <w:rFonts w:hint="eastAsia" w:asciiTheme="minorEastAsia" w:hAnsiTheme="minorEastAsia" w:eastAsiaTheme="minorEastAsia" w:cstheme="minorEastAsia"/>
          <w:i w:val="0"/>
          <w:iCs w:val="0"/>
          <w:caps w:val="0"/>
          <w:spacing w:val="0"/>
          <w:sz w:val="28"/>
          <w:szCs w:val="28"/>
          <w:shd w:val="clear"/>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kern w:val="2"/>
          <w:sz w:val="28"/>
          <w:szCs w:val="28"/>
          <w:lang w:val="en-US" w:eastAsia="zh-CN"/>
        </w:rPr>
        <w:t>本次采购范围为</w:t>
      </w:r>
      <w:r>
        <w:rPr>
          <w:rFonts w:hint="eastAsia" w:asciiTheme="minorEastAsia" w:hAnsiTheme="minorEastAsia" w:eastAsiaTheme="minorEastAsia" w:cstheme="minorEastAsia"/>
          <w:kern w:val="2"/>
          <w:sz w:val="28"/>
          <w:szCs w:val="28"/>
          <w:lang w:eastAsia="zh-CN"/>
        </w:rPr>
        <w:t>ALC轻质隔墙板采购，</w:t>
      </w:r>
      <w:r>
        <w:rPr>
          <w:rFonts w:hint="eastAsia" w:asciiTheme="minorEastAsia" w:hAnsiTheme="minorEastAsia" w:eastAsiaTheme="minorEastAsia" w:cstheme="minorEastAsia"/>
          <w:kern w:val="2"/>
          <w:sz w:val="28"/>
          <w:szCs w:val="28"/>
          <w:lang w:val="en-US" w:eastAsia="zh-CN"/>
        </w:rPr>
        <w:t>采购数量为暂估数量，</w:t>
      </w:r>
      <w:r>
        <w:rPr>
          <w:rFonts w:hint="eastAsia" w:asciiTheme="minorEastAsia" w:hAnsiTheme="minorEastAsia" w:eastAsiaTheme="minorEastAsia" w:cstheme="minorEastAsia"/>
          <w:i w:val="0"/>
          <w:iCs w:val="0"/>
          <w:caps w:val="0"/>
          <w:color w:val="auto"/>
          <w:spacing w:val="0"/>
          <w:sz w:val="28"/>
          <w:szCs w:val="28"/>
          <w:shd w:val="clear" w:fill="auto"/>
        </w:rPr>
        <w:t>采购材料的数量、规格等要求以采购订单通知为准，按实际合格供货量据实结算。</w:t>
      </w:r>
    </w:p>
    <w:permEnd w:id="7"/>
    <w:p w14:paraId="77A62DDD">
      <w:pPr>
        <w:wordWrap w:val="0"/>
        <w:spacing w:line="480" w:lineRule="exact"/>
        <w:ind w:firstLine="560" w:firstLineChars="200"/>
        <w:jc w:val="both"/>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8" w:edGrp="everyone"/>
      <w:r>
        <w:rPr>
          <w:rFonts w:hint="eastAsia" w:asciiTheme="minorEastAsia" w:hAnsiTheme="minorEastAsia" w:cstheme="minorEastAsia"/>
          <w:sz w:val="28"/>
          <w:szCs w:val="28"/>
          <w:highlight w:val="none"/>
          <w:lang w:val="en-US" w:eastAsia="zh-CN"/>
        </w:rPr>
        <w:t>供货期：</w:t>
      </w:r>
      <w:r>
        <w:rPr>
          <w:rFonts w:hint="eastAsia" w:asciiTheme="minorEastAsia" w:hAnsiTheme="minorEastAsia" w:eastAsiaTheme="minorEastAsia" w:cstheme="minorEastAsia"/>
          <w:kern w:val="2"/>
          <w:sz w:val="28"/>
          <w:szCs w:val="28"/>
          <w:lang w:eastAsia="zh-CN"/>
        </w:rPr>
        <w:t>自合同签订之日起</w:t>
      </w:r>
      <w:r>
        <w:rPr>
          <w:rFonts w:hint="eastAsia" w:asciiTheme="minorEastAsia" w:hAnsiTheme="minorEastAsia" w:cstheme="minorEastAsia"/>
          <w:kern w:val="2"/>
          <w:sz w:val="28"/>
          <w:szCs w:val="28"/>
          <w:lang w:val="en-US" w:eastAsia="zh-CN"/>
        </w:rPr>
        <w:t>120</w:t>
      </w:r>
      <w:r>
        <w:rPr>
          <w:rFonts w:hint="eastAsia" w:asciiTheme="minorEastAsia" w:hAnsiTheme="minorEastAsia" w:eastAsiaTheme="minorEastAsia" w:cstheme="minorEastAsia"/>
          <w:kern w:val="2"/>
          <w:sz w:val="28"/>
          <w:szCs w:val="28"/>
          <w:lang w:eastAsia="zh-CN"/>
        </w:rPr>
        <w:t>日历天；</w:t>
      </w:r>
      <w:r>
        <w:rPr>
          <w:rFonts w:hint="eastAsia" w:asciiTheme="minorEastAsia" w:hAnsiTheme="minorEastAsia" w:eastAsiaTheme="minorEastAsia" w:cstheme="minorEastAsia"/>
          <w:kern w:val="2"/>
          <w:sz w:val="28"/>
          <w:szCs w:val="28"/>
          <w:lang w:val="en-US" w:eastAsia="zh-CN"/>
        </w:rPr>
        <w:t>交货期：自采购人下达供货指令起</w:t>
      </w:r>
      <w:r>
        <w:rPr>
          <w:rFonts w:hint="eastAsia" w:asciiTheme="minorEastAsia" w:hAnsiTheme="minorEastAsia" w:cstheme="minorEastAsia"/>
          <w:kern w:val="2"/>
          <w:sz w:val="28"/>
          <w:szCs w:val="28"/>
          <w:lang w:val="en-US" w:eastAsia="zh-CN"/>
        </w:rPr>
        <w:t>10</w:t>
      </w:r>
      <w:r>
        <w:rPr>
          <w:rFonts w:hint="eastAsia" w:asciiTheme="minorEastAsia" w:hAnsiTheme="minorEastAsia" w:eastAsiaTheme="minorEastAsia" w:cstheme="minorEastAsia"/>
          <w:kern w:val="2"/>
          <w:sz w:val="28"/>
          <w:szCs w:val="28"/>
          <w:lang w:val="en-US" w:eastAsia="zh-CN"/>
        </w:rPr>
        <w:t>日内完成供货。</w:t>
      </w:r>
      <w:permEnd w:id="8"/>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亳州市谯城区，采购人指定地点。</w:t>
      </w:r>
      <w:r>
        <w:rPr>
          <w:rFonts w:hint="eastAsia" w:asciiTheme="minorEastAsia" w:hAnsiTheme="minorEastAsia" w:cstheme="minorEastAsia"/>
          <w:color w:val="FF0000"/>
          <w:sz w:val="28"/>
          <w:szCs w:val="28"/>
          <w:highlight w:val="none"/>
          <w:lang w:val="en-US" w:eastAsia="zh-CN"/>
        </w:rPr>
        <w:t xml:space="preserve"> </w:t>
      </w:r>
      <w:permEnd w:id="9"/>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0"/>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A3C81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kern w:val="2"/>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lang w:val="en-US" w:eastAsia="zh-CN"/>
        </w:rPr>
        <w:t>（一）供应商需具有独立法人资格，并在人员、设备、资金等方面具有承担本项目</w:t>
      </w:r>
      <w:r>
        <w:rPr>
          <w:rFonts w:hint="eastAsia" w:asciiTheme="minorEastAsia" w:hAnsiTheme="minorEastAsia" w:cstheme="minorEastAsia"/>
          <w:color w:val="auto"/>
          <w:kern w:val="2"/>
          <w:sz w:val="28"/>
          <w:szCs w:val="28"/>
          <w:highlight w:val="none"/>
          <w:lang w:val="en-US" w:eastAsia="zh-CN"/>
        </w:rPr>
        <w:t>供货</w:t>
      </w:r>
      <w:r>
        <w:rPr>
          <w:rFonts w:hint="eastAsia" w:asciiTheme="minorEastAsia" w:hAnsiTheme="minorEastAsia" w:eastAsiaTheme="minorEastAsia" w:cstheme="minorEastAsia"/>
          <w:color w:val="auto"/>
          <w:kern w:val="2"/>
          <w:sz w:val="28"/>
          <w:szCs w:val="28"/>
          <w:highlight w:val="none"/>
          <w:lang w:val="en-US" w:eastAsia="zh-CN"/>
        </w:rPr>
        <w:t>的能力。</w:t>
      </w:r>
    </w:p>
    <w:p w14:paraId="3A4ADF62">
      <w:pPr>
        <w:wordWrap w:val="0"/>
        <w:spacing w:line="480" w:lineRule="exact"/>
        <w:ind w:firstLine="560" w:firstLineChars="200"/>
        <w:jc w:val="both"/>
        <w:rPr>
          <w:rFonts w:hint="eastAsia" w:asciiTheme="minorEastAsia" w:hAnsiTheme="minorEastAsia" w:eastAsiaTheme="minorEastAsia" w:cstheme="minorEastAsia"/>
          <w:color w:val="FF0000"/>
          <w:kern w:val="2"/>
          <w:sz w:val="28"/>
          <w:szCs w:val="28"/>
          <w:u w:val="single"/>
          <w:lang w:eastAsia="zh-CN"/>
        </w:rPr>
      </w:pPr>
      <w:r>
        <w:rPr>
          <w:rFonts w:hint="eastAsia" w:asciiTheme="minorEastAsia" w:hAnsiTheme="minorEastAsia" w:eastAsiaTheme="minorEastAsia" w:cstheme="minorEastAsia"/>
          <w:color w:val="auto"/>
          <w:kern w:val="2"/>
          <w:sz w:val="28"/>
          <w:szCs w:val="28"/>
          <w:highlight w:val="none"/>
          <w:lang w:val="en-US" w:eastAsia="zh-CN"/>
        </w:rPr>
        <w:t>（二）业绩要求：</w:t>
      </w:r>
      <w:r>
        <w:rPr>
          <w:rFonts w:hint="eastAsia" w:asciiTheme="minorEastAsia" w:hAnsiTheme="minorEastAsia" w:eastAsiaTheme="minorEastAsia" w:cstheme="minorEastAsia"/>
          <w:kern w:val="2"/>
          <w:sz w:val="28"/>
          <w:szCs w:val="28"/>
          <w:lang w:eastAsia="zh-CN"/>
        </w:rPr>
        <w:t>提供</w:t>
      </w:r>
      <w:r>
        <w:rPr>
          <w:rFonts w:hint="eastAsia" w:asciiTheme="minorEastAsia" w:hAnsiTheme="minorEastAsia" w:eastAsiaTheme="minorEastAsia" w:cstheme="minorEastAsia"/>
          <w:color w:val="FF0000"/>
          <w:kern w:val="2"/>
          <w:sz w:val="28"/>
          <w:szCs w:val="28"/>
          <w:lang w:eastAsia="zh-CN"/>
        </w:rPr>
        <w:t>202</w:t>
      </w:r>
      <w:r>
        <w:rPr>
          <w:rFonts w:hint="eastAsia" w:asciiTheme="minorEastAsia" w:hAnsiTheme="minorEastAsia" w:eastAsiaTheme="minorEastAsia" w:cstheme="minorEastAsia"/>
          <w:color w:val="FF0000"/>
          <w:kern w:val="2"/>
          <w:sz w:val="28"/>
          <w:szCs w:val="28"/>
          <w:lang w:val="en-US" w:eastAsia="zh-CN"/>
        </w:rPr>
        <w:t>3</w:t>
      </w:r>
      <w:r>
        <w:rPr>
          <w:rFonts w:hint="eastAsia" w:asciiTheme="minorEastAsia" w:hAnsiTheme="minorEastAsia" w:eastAsiaTheme="minorEastAsia" w:cstheme="minorEastAsia"/>
          <w:kern w:val="2"/>
          <w:sz w:val="28"/>
          <w:szCs w:val="28"/>
          <w:lang w:eastAsia="zh-CN"/>
        </w:rPr>
        <w:t>年1月1日起至今企业类似项目业绩1个，以合同签订时间为准，类似项目业绩指:</w:t>
      </w:r>
      <w:r>
        <w:rPr>
          <w:rFonts w:hint="eastAsia" w:asciiTheme="minorEastAsia" w:hAnsiTheme="minorEastAsia" w:eastAsiaTheme="minorEastAsia" w:cstheme="minorEastAsia"/>
          <w:color w:val="FF0000"/>
          <w:kern w:val="2"/>
          <w:sz w:val="28"/>
          <w:szCs w:val="28"/>
          <w:u w:val="single"/>
          <w:lang w:eastAsia="zh-CN"/>
        </w:rPr>
        <w:t>单项合同金额不低于</w:t>
      </w:r>
      <w:r>
        <w:rPr>
          <w:rFonts w:hint="eastAsia" w:asciiTheme="minorEastAsia" w:hAnsiTheme="minorEastAsia" w:eastAsiaTheme="minorEastAsia" w:cstheme="minorEastAsia"/>
          <w:color w:val="FF0000"/>
          <w:kern w:val="2"/>
          <w:sz w:val="28"/>
          <w:szCs w:val="28"/>
          <w:u w:val="single"/>
          <w:lang w:val="en-US" w:eastAsia="zh-CN"/>
        </w:rPr>
        <w:t>30</w:t>
      </w:r>
      <w:r>
        <w:rPr>
          <w:rFonts w:hint="eastAsia" w:asciiTheme="minorEastAsia" w:hAnsiTheme="minorEastAsia" w:eastAsiaTheme="minorEastAsia" w:cstheme="minorEastAsia"/>
          <w:color w:val="FF0000"/>
          <w:kern w:val="2"/>
          <w:sz w:val="28"/>
          <w:szCs w:val="28"/>
          <w:u w:val="single"/>
          <w:lang w:eastAsia="zh-CN"/>
        </w:rPr>
        <w:t>万元的ALC轻质隔墙板供货业绩；</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11" w:edGrp="everyone"/>
      <w:r>
        <w:rPr>
          <w:rFonts w:hint="default" w:asciiTheme="minorEastAsia" w:hAnsiTheme="minorEastAsia" w:eastAsiaTheme="minorEastAsia" w:cstheme="minorEastAsia"/>
          <w:color w:val="auto"/>
          <w:kern w:val="2"/>
          <w:sz w:val="28"/>
          <w:szCs w:val="28"/>
          <w:highlight w:val="none"/>
          <w:lang w:val="en-US" w:eastAsia="zh-CN"/>
        </w:rPr>
        <w:t>提供业绩合同</w:t>
      </w:r>
      <w:r>
        <w:rPr>
          <w:rFonts w:hint="eastAsia" w:asciiTheme="minorEastAsia" w:hAnsiTheme="minorEastAsia" w:eastAsiaTheme="minorEastAsia" w:cstheme="minorEastAsia"/>
          <w:color w:val="auto"/>
          <w:kern w:val="2"/>
          <w:sz w:val="28"/>
          <w:szCs w:val="28"/>
          <w:highlight w:val="none"/>
          <w:lang w:val="en-US" w:eastAsia="zh-CN"/>
        </w:rPr>
        <w:t>等相关资料</w:t>
      </w:r>
      <w:r>
        <w:rPr>
          <w:rFonts w:hint="eastAsia" w:asciiTheme="minorEastAsia" w:hAnsiTheme="minorEastAsia" w:cstheme="minorEastAsia"/>
          <w:color w:val="auto"/>
          <w:kern w:val="2"/>
          <w:sz w:val="28"/>
          <w:szCs w:val="28"/>
          <w:highlight w:val="none"/>
          <w:lang w:val="en-US" w:eastAsia="zh-CN"/>
        </w:rPr>
        <w:t>的</w:t>
      </w:r>
      <w:r>
        <w:rPr>
          <w:rFonts w:hint="default" w:asciiTheme="minorEastAsia" w:hAnsiTheme="minorEastAsia" w:eastAsiaTheme="minorEastAsia" w:cstheme="minorEastAsia"/>
          <w:color w:val="auto"/>
          <w:kern w:val="2"/>
          <w:sz w:val="28"/>
          <w:szCs w:val="28"/>
          <w:highlight w:val="none"/>
          <w:lang w:val="en-US" w:eastAsia="zh-CN"/>
        </w:rPr>
        <w:t>复印件或扫描件装订入</w:t>
      </w:r>
      <w:r>
        <w:rPr>
          <w:rFonts w:hint="eastAsia" w:asciiTheme="minorEastAsia" w:hAnsiTheme="minorEastAsia" w:eastAsiaTheme="minorEastAsia" w:cstheme="minorEastAsia"/>
          <w:color w:val="auto"/>
          <w:kern w:val="2"/>
          <w:sz w:val="28"/>
          <w:szCs w:val="28"/>
          <w:highlight w:val="none"/>
          <w:lang w:val="en-US" w:eastAsia="zh-CN"/>
        </w:rPr>
        <w:t>响应文件</w:t>
      </w:r>
      <w:r>
        <w:rPr>
          <w:rFonts w:hint="default" w:asciiTheme="minorEastAsia" w:hAnsiTheme="minorEastAsia" w:eastAsiaTheme="minorEastAsia" w:cstheme="minorEastAsia"/>
          <w:color w:val="auto"/>
          <w:kern w:val="2"/>
          <w:sz w:val="28"/>
          <w:szCs w:val="28"/>
          <w:highlight w:val="none"/>
          <w:lang w:val="en-US" w:eastAsia="zh-CN"/>
        </w:rPr>
        <w:t>中</w:t>
      </w:r>
      <w:permEnd w:id="11"/>
      <w:r>
        <w:rPr>
          <w:rFonts w:hint="eastAsia" w:asciiTheme="minorEastAsia" w:hAnsiTheme="minorEastAsia" w:cstheme="minorEastAsia"/>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12"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2"/>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559" w:leftChars="266" w:firstLine="0" w:firstLineChars="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4" w:edGrp="everyone"/>
      <w:r>
        <w:rPr>
          <w:rFonts w:hint="eastAsia" w:asciiTheme="minorEastAsia" w:hAnsiTheme="minorEastAsia" w:cstheme="minorEastAsia"/>
          <w:i/>
          <w:iCs/>
          <w:color w:val="FF0000"/>
          <w:sz w:val="28"/>
          <w:szCs w:val="28"/>
          <w:highlight w:val="none"/>
          <w:u w:val="single"/>
          <w:lang w:val="en-US" w:eastAsia="zh-CN"/>
        </w:rPr>
        <w:t>2026</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5</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12</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4"/>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5"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安徽省亳州市高新技术产业开发区神农大道与百合路交叉口亳州汽车南站广场西侧（亳州交控通路交通设施有限公司2楼开标室）</w:t>
      </w:r>
      <w:r>
        <w:rPr>
          <w:rFonts w:hint="eastAsia" w:asciiTheme="minorEastAsia" w:hAnsiTheme="minorEastAsia" w:cstheme="minorEastAsia"/>
          <w:i w:val="0"/>
          <w:iCs w:val="0"/>
          <w:sz w:val="28"/>
          <w:szCs w:val="28"/>
          <w:highlight w:val="none"/>
          <w:lang w:val="en-US" w:eastAsia="zh-CN"/>
        </w:rPr>
        <w:t>；</w:t>
      </w:r>
      <w:permEnd w:id="15"/>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6"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16"/>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7" w:edGrp="everyone"/>
      <w:r>
        <w:rPr>
          <w:rFonts w:hint="eastAsia" w:asciiTheme="minorEastAsia" w:hAnsiTheme="minorEastAsia" w:cstheme="minorEastAsia"/>
          <w:color w:val="FF0000"/>
          <w:sz w:val="28"/>
          <w:szCs w:val="28"/>
          <w:highlight w:val="none"/>
          <w:u w:val="single"/>
          <w:lang w:val="en-US" w:eastAsia="zh-CN"/>
        </w:rPr>
        <w:t>9500元</w:t>
      </w:r>
      <w:r>
        <w:rPr>
          <w:rFonts w:hint="default" w:asciiTheme="minorEastAsia" w:hAnsiTheme="minorEastAsia" w:eastAsiaTheme="minorEastAsia" w:cstheme="minorEastAsia"/>
          <w:color w:val="FF0000"/>
          <w:sz w:val="28"/>
          <w:szCs w:val="28"/>
          <w:highlight w:val="none"/>
          <w:lang w:val="en-US" w:eastAsia="zh-CN"/>
        </w:rPr>
        <w:t>（人民币）</w:t>
      </w:r>
      <w:permEnd w:id="17"/>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8"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8"/>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9" w:edGrp="everyone"/>
      <w:r>
        <w:rPr>
          <w:rFonts w:hint="eastAsia" w:asciiTheme="minorEastAsia" w:hAnsiTheme="minorEastAsia" w:cstheme="minorEastAsia"/>
          <w:sz w:val="28"/>
          <w:szCs w:val="28"/>
          <w:highlight w:val="none"/>
          <w:lang w:val="en-US" w:eastAsia="zh-CN"/>
        </w:rPr>
        <w:t xml:space="preserve">马经理 </w:t>
      </w:r>
      <w:permEnd w:id="19"/>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0" w:edGrp="everyone"/>
      <w:r>
        <w:rPr>
          <w:rFonts w:hint="eastAsia" w:asciiTheme="minorEastAsia" w:hAnsiTheme="minorEastAsia" w:cstheme="minorEastAsia"/>
          <w:color w:val="FF0000"/>
          <w:sz w:val="28"/>
          <w:szCs w:val="28"/>
          <w:highlight w:val="none"/>
          <w:lang w:val="en-US" w:eastAsia="zh-CN"/>
        </w:rPr>
        <w:t>亳州交控通路交通设施有限公司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30</w:t>
      </w:r>
      <w:r>
        <w:rPr>
          <w:rFonts w:hint="eastAsia" w:asciiTheme="minorEastAsia" w:hAnsiTheme="minorEastAsia" w:eastAsiaTheme="minorEastAsia" w:cstheme="minorEastAsia"/>
          <w:color w:val="FF0000"/>
          <w:sz w:val="28"/>
          <w:szCs w:val="28"/>
          <w:highlight w:val="none"/>
          <w:lang w:val="en-US" w:eastAsia="zh-CN"/>
        </w:rPr>
        <w:t>日</w:t>
      </w:r>
    </w:p>
    <w:permEnd w:id="20"/>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1"/>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2"/>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5</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4"/>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5"/>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6"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6"/>
            <w:r>
              <w:rPr>
                <w:rFonts w:hint="default" w:ascii="Times New Roman" w:hAnsi="Times New Roman" w:cs="Times New Roman"/>
                <w:szCs w:val="21"/>
                <w:highlight w:val="none"/>
              </w:rPr>
              <w:t>的形式：</w:t>
            </w:r>
            <w:permStart w:id="27" w:edGrp="everyone"/>
            <w:r>
              <w:rPr>
                <w:rFonts w:hint="default" w:ascii="Times New Roman" w:hAnsi="Times New Roman" w:cs="Times New Roman"/>
                <w:b/>
                <w:bCs/>
                <w:color w:val="FF0000"/>
                <w:szCs w:val="21"/>
                <w:highlight w:val="none"/>
              </w:rPr>
              <w:t>银行汇款或转账</w:t>
            </w:r>
            <w:permEnd w:id="27"/>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8" w:edGrp="everyone"/>
            <w:r>
              <w:rPr>
                <w:rFonts w:hint="eastAsia" w:ascii="Times New Roman" w:hAnsi="Times New Roman" w:cs="Times New Roman"/>
                <w:b/>
                <w:bCs/>
                <w:color w:val="FF0000"/>
                <w:szCs w:val="21"/>
                <w:highlight w:val="none"/>
                <w:u w:val="single"/>
                <w:lang w:val="en-US" w:eastAsia="zh-CN"/>
              </w:rPr>
              <w:t xml:space="preserve"> 9500元  </w:t>
            </w:r>
            <w:permEnd w:id="28"/>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0AF6840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578A92A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开户银行：交通银行股份有限公司亳州分行营业部</w:t>
            </w:r>
          </w:p>
          <w:p w14:paraId="6CCD7D4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银行账号：573240000013000088290</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9" w:edGrp="everyone"/>
            <w:r>
              <w:rPr>
                <w:rFonts w:hint="eastAsia" w:ascii="Times New Roman" w:hAnsi="Times New Roman" w:cs="Times New Roman"/>
                <w:b/>
                <w:bCs/>
                <w:color w:val="FF0000"/>
                <w:szCs w:val="21"/>
                <w:highlight w:val="none"/>
                <w:lang w:val="en-US" w:eastAsia="zh-CN"/>
              </w:rPr>
              <w:t>BZJKTL-2026-04号保证金</w:t>
            </w:r>
            <w:permEnd w:id="2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0"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0"/>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1"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华佗中医药文化传承创新示范项目配套服务用房工程ALC轻质隔墙板采购（二次）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项目编号：BZJKTL-2026-04号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12</w:t>
            </w:r>
            <w:bookmarkStart w:id="317" w:name="_GoBack"/>
            <w:bookmarkEnd w:id="317"/>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1"/>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2"/>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3"/>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4"/>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717E061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开户银行：交通银行股份有限公司亳州分行营业部</w:t>
            </w:r>
          </w:p>
          <w:p w14:paraId="244D2EB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银行账号：573240000013000088290</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5"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5"/>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6"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6"/>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7"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7"/>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96602423"/>
      <w:bookmarkStart w:id="1" w:name="_Toc179632549"/>
      <w:bookmarkStart w:id="2" w:name="_Toc152042308"/>
      <w:bookmarkStart w:id="3" w:name="_Toc246996921"/>
      <w:bookmarkStart w:id="4" w:name="_Toc247085692"/>
      <w:bookmarkStart w:id="5" w:name="_Toc144974500"/>
      <w:bookmarkStart w:id="6" w:name="_Toc246996178"/>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152045536"/>
      <w:bookmarkStart w:id="10" w:name="_Toc246996181"/>
      <w:bookmarkStart w:id="11" w:name="_Toc247085695"/>
      <w:bookmarkStart w:id="12" w:name="_Toc152042312"/>
      <w:bookmarkStart w:id="13" w:name="_Toc246996924"/>
      <w:bookmarkStart w:id="14" w:name="_Toc144974504"/>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96602427"/>
      <w:bookmarkStart w:id="18" w:name="_Toc246996182"/>
      <w:bookmarkStart w:id="19" w:name="_Toc152045537"/>
      <w:bookmarkStart w:id="20" w:name="_Toc246996925"/>
      <w:bookmarkStart w:id="21" w:name="_Toc247085696"/>
      <w:bookmarkStart w:id="22" w:name="_Toc179632554"/>
      <w:bookmarkStart w:id="23" w:name="_Toc152042313"/>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926"/>
      <w:bookmarkStart w:id="25" w:name="_Toc247085697"/>
      <w:bookmarkStart w:id="26" w:name="_Toc152045538"/>
      <w:bookmarkStart w:id="27" w:name="_Toc246996183"/>
      <w:bookmarkStart w:id="28" w:name="_Toc179632555"/>
      <w:bookmarkStart w:id="29" w:name="_Toc144974506"/>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179632560"/>
      <w:bookmarkStart w:id="33" w:name="_Toc246996930"/>
      <w:bookmarkStart w:id="34" w:name="_Toc246996187"/>
      <w:bookmarkStart w:id="35" w:name="_Toc296602432"/>
      <w:bookmarkStart w:id="36" w:name="_Toc152045542"/>
      <w:bookmarkStart w:id="37" w:name="_Toc247085701"/>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931"/>
      <w:bookmarkStart w:id="40" w:name="_Toc179632561"/>
      <w:bookmarkStart w:id="41" w:name="_Toc152042319"/>
      <w:bookmarkStart w:id="42" w:name="_Toc296602433"/>
      <w:bookmarkStart w:id="43" w:name="_Toc152045543"/>
      <w:bookmarkStart w:id="44" w:name="_Toc247085702"/>
      <w:bookmarkStart w:id="45" w:name="_Toc144974511"/>
      <w:bookmarkStart w:id="46" w:name="_Toc246996188"/>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4"/>
      <w:bookmarkStart w:id="48" w:name="_Toc152042320"/>
      <w:bookmarkStart w:id="49" w:name="_Toc246996932"/>
      <w:bookmarkStart w:id="50" w:name="_Toc247085703"/>
      <w:bookmarkStart w:id="51" w:name="_Toc246996189"/>
      <w:bookmarkStart w:id="52" w:name="_Toc144974512"/>
      <w:bookmarkStart w:id="53" w:name="_Toc179632562"/>
      <w:bookmarkStart w:id="54" w:name="_Toc15204554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190"/>
      <w:bookmarkStart w:id="56" w:name="_Toc179632563"/>
      <w:bookmarkStart w:id="57" w:name="_Toc144974513"/>
      <w:bookmarkStart w:id="58" w:name="_Toc246996933"/>
      <w:bookmarkStart w:id="59" w:name="_Toc247085704"/>
      <w:bookmarkStart w:id="60" w:name="_Toc296602435"/>
      <w:bookmarkStart w:id="61" w:name="_Toc152042321"/>
      <w:bookmarkStart w:id="62" w:name="_Toc15204554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934"/>
      <w:bookmarkStart w:id="64" w:name="_Toc144974514"/>
      <w:bookmarkStart w:id="65" w:name="_Toc296602436"/>
      <w:bookmarkStart w:id="66" w:name="_Toc179632564"/>
      <w:bookmarkStart w:id="67" w:name="_Toc152045546"/>
      <w:bookmarkStart w:id="68" w:name="_Toc246996191"/>
      <w:bookmarkStart w:id="69" w:name="_Toc152042322"/>
      <w:bookmarkStart w:id="70"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44974515"/>
      <w:bookmarkStart w:id="72" w:name="_Toc246996935"/>
      <w:bookmarkStart w:id="73" w:name="_Toc296602437"/>
      <w:bookmarkStart w:id="74" w:name="_Toc246996192"/>
      <w:bookmarkStart w:id="75" w:name="_Toc179632565"/>
      <w:bookmarkStart w:id="76" w:name="_Toc247085706"/>
      <w:bookmarkStart w:id="77" w:name="_Toc152045547"/>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2324"/>
      <w:bookmarkStart w:id="80" w:name="_Toc246996193"/>
      <w:bookmarkStart w:id="81" w:name="_Toc152045548"/>
      <w:bookmarkStart w:id="82" w:name="_Toc296602438"/>
      <w:bookmarkStart w:id="83" w:name="_Toc144974516"/>
      <w:bookmarkStart w:id="84" w:name="_Toc247085707"/>
      <w:bookmarkStart w:id="85" w:name="_Toc179632566"/>
      <w:bookmarkStart w:id="86" w:name="_Toc24699693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2325"/>
      <w:bookmarkStart w:id="89" w:name="_Toc152045549"/>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7085708"/>
      <w:bookmarkStart w:id="93" w:name="_Toc246996937"/>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23"/>
      <w:bookmarkStart w:id="96" w:name="_Toc247085713"/>
      <w:bookmarkStart w:id="97" w:name="_Toc296602443"/>
      <w:bookmarkStart w:id="98" w:name="_Toc246996199"/>
      <w:bookmarkStart w:id="99" w:name="_Toc246996942"/>
      <w:bookmarkStart w:id="100" w:name="_Toc152042331"/>
      <w:bookmarkStart w:id="101" w:name="_Toc179632573"/>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246996943"/>
      <w:bookmarkStart w:id="105" w:name="_Toc247085714"/>
      <w:bookmarkStart w:id="106" w:name="_Toc179632574"/>
      <w:bookmarkStart w:id="107" w:name="_Toc296602444"/>
      <w:bookmarkStart w:id="108" w:name="_Toc152042332"/>
      <w:bookmarkStart w:id="109" w:name="_Toc152045556"/>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179632575"/>
      <w:bookmarkStart w:id="113" w:name="_Toc144974525"/>
      <w:bookmarkStart w:id="114" w:name="_Toc246996944"/>
      <w:bookmarkStart w:id="115" w:name="_Toc152045557"/>
      <w:bookmarkStart w:id="116" w:name="_Toc152042333"/>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96602446"/>
      <w:bookmarkStart w:id="119" w:name="_Toc152042334"/>
      <w:bookmarkStart w:id="120" w:name="_Toc246996202"/>
      <w:bookmarkStart w:id="121" w:name="_Toc152045558"/>
      <w:bookmarkStart w:id="122" w:name="_Toc246996945"/>
      <w:bookmarkStart w:id="123" w:name="_Toc144974526"/>
      <w:bookmarkStart w:id="124" w:name="_Toc179632576"/>
      <w:bookmarkStart w:id="125" w:name="_Toc24708571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246996946"/>
      <w:bookmarkStart w:id="128" w:name="_Toc179632577"/>
      <w:bookmarkStart w:id="129" w:name="_Toc152042335"/>
      <w:bookmarkStart w:id="130" w:name="_Toc246996203"/>
      <w:bookmarkStart w:id="131" w:name="_Toc296602447"/>
      <w:bookmarkStart w:id="132" w:name="_Toc144974527"/>
      <w:bookmarkStart w:id="133" w:name="_Toc152045559"/>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246996204"/>
      <w:bookmarkStart w:id="136" w:name="_Toc152042336"/>
      <w:bookmarkStart w:id="137" w:name="_Toc179632578"/>
      <w:bookmarkStart w:id="138" w:name="_Toc152045560"/>
      <w:bookmarkStart w:id="139" w:name="_Toc247085718"/>
      <w:bookmarkStart w:id="140" w:name="_Toc296602448"/>
      <w:bookmarkStart w:id="141"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7"/>
      <w:bookmarkStart w:id="143" w:name="_Toc246996205"/>
      <w:bookmarkStart w:id="144" w:name="_Toc179632579"/>
      <w:bookmarkStart w:id="145" w:name="_Toc152045561"/>
      <w:bookmarkStart w:id="146" w:name="_Toc247085719"/>
      <w:bookmarkStart w:id="147" w:name="_Toc246996948"/>
      <w:bookmarkStart w:id="148" w:name="_Toc296602449"/>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50"/>
      <w:bookmarkStart w:id="151" w:name="_Toc152042339"/>
      <w:bookmarkStart w:id="152" w:name="_Toc179632581"/>
      <w:bookmarkStart w:id="153" w:name="_Toc247085721"/>
      <w:bookmarkStart w:id="154" w:name="_Toc152045563"/>
      <w:bookmarkStart w:id="155" w:name="_Toc296602452"/>
      <w:bookmarkStart w:id="156" w:name="_Toc246996207"/>
      <w:bookmarkStart w:id="157" w:name="_Toc14497453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144974534"/>
      <w:bookmarkStart w:id="160" w:name="_Toc152045566"/>
      <w:bookmarkStart w:id="161" w:name="_Toc246996953"/>
      <w:bookmarkStart w:id="162" w:name="_Toc247085724"/>
      <w:bookmarkStart w:id="163" w:name="_Toc179632584"/>
      <w:bookmarkStart w:id="164" w:name="_Toc246996210"/>
      <w:bookmarkStart w:id="165" w:name="_Toc296602455"/>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7"/>
      <w:bookmarkStart w:id="167" w:name="_Toc296602456"/>
      <w:bookmarkStart w:id="168" w:name="_Toc246996954"/>
      <w:bookmarkStart w:id="169" w:name="_Toc247085725"/>
      <w:bookmarkStart w:id="170" w:name="_Toc144974535"/>
      <w:bookmarkStart w:id="171" w:name="_Toc246996211"/>
      <w:bookmarkStart w:id="172" w:name="_Toc179632585"/>
      <w:bookmarkStart w:id="173" w:name="_Toc152042343"/>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44974536"/>
      <w:bookmarkStart w:id="176" w:name="_Toc296602458"/>
      <w:bookmarkStart w:id="177" w:name="_Toc246996212"/>
      <w:bookmarkStart w:id="178" w:name="_Toc246996955"/>
      <w:bookmarkStart w:id="179" w:name="_Toc152045568"/>
      <w:bookmarkStart w:id="180" w:name="_Toc152042344"/>
      <w:bookmarkStart w:id="181" w:name="_Toc247085726"/>
      <w:bookmarkStart w:id="182" w:name="_Toc17963258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956"/>
      <w:bookmarkStart w:id="184" w:name="_Toc152045569"/>
      <w:bookmarkStart w:id="185" w:name="_Toc247085727"/>
      <w:bookmarkStart w:id="186" w:name="_Toc296602459"/>
      <w:bookmarkStart w:id="187" w:name="_Toc179632587"/>
      <w:bookmarkStart w:id="188" w:name="_Toc152042345"/>
      <w:bookmarkStart w:id="189" w:name="_Toc246996213"/>
      <w:bookmarkStart w:id="190" w:name="_Toc14497453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7085733"/>
      <w:bookmarkStart w:id="193" w:name="_Toc179632593"/>
      <w:bookmarkStart w:id="194" w:name="_Toc152045575"/>
      <w:bookmarkStart w:id="195" w:name="_Toc296602462"/>
      <w:bookmarkStart w:id="196" w:name="_Toc144974543"/>
      <w:bookmarkStart w:id="197" w:name="_Toc246996219"/>
      <w:bookmarkStart w:id="198" w:name="_Toc152042351"/>
      <w:bookmarkStart w:id="199" w:name="_Toc246996962"/>
      <w:bookmarkStart w:id="200" w:name="_Toc29659098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179632594"/>
      <w:bookmarkStart w:id="202" w:name="_Toc152042352"/>
      <w:bookmarkStart w:id="203" w:name="_Toc246996220"/>
      <w:bookmarkStart w:id="204" w:name="_Toc144974544"/>
      <w:bookmarkStart w:id="205" w:name="_Toc246996963"/>
      <w:bookmarkStart w:id="206" w:name="_Toc296602463"/>
      <w:bookmarkStart w:id="207" w:name="_Toc152045576"/>
      <w:bookmarkStart w:id="208" w:name="_Toc24708573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79632595"/>
      <w:bookmarkStart w:id="210" w:name="_Toc247085735"/>
      <w:bookmarkStart w:id="211" w:name="_Toc296602464"/>
      <w:bookmarkStart w:id="212" w:name="_Toc246996221"/>
      <w:bookmarkStart w:id="213" w:name="_Toc144974545"/>
      <w:bookmarkStart w:id="214" w:name="_Toc152042353"/>
      <w:bookmarkStart w:id="215" w:name="_Toc246996964"/>
      <w:bookmarkStart w:id="216" w:name="_Toc152045577"/>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8" w:edGrp="everyone"/>
      <w:r>
        <w:rPr>
          <w:rFonts w:hint="eastAsia" w:ascii="宋体" w:hAnsi="宋体"/>
          <w:color w:val="FF0000"/>
          <w:sz w:val="24"/>
          <w:lang w:val="en-US" w:eastAsia="zh-CN"/>
        </w:rPr>
        <w:t>最低评审价法</w:t>
      </w:r>
      <w:permEnd w:id="38"/>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7085747"/>
            <w:bookmarkStart w:id="218" w:name="_Toc246996975"/>
            <w:bookmarkStart w:id="219" w:name="_Toc179632607"/>
            <w:bookmarkStart w:id="220" w:name="_Toc296602477"/>
            <w:bookmarkStart w:id="221" w:name="_Toc152042366"/>
            <w:bookmarkStart w:id="222" w:name="_Toc246996232"/>
            <w:bookmarkStart w:id="223" w:name="_Toc152045589"/>
            <w:bookmarkStart w:id="224" w:name="_Toc14497455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236"/>
      <w:bookmarkStart w:id="226" w:name="_Toc296602481"/>
      <w:bookmarkStart w:id="227" w:name="_Toc152042370"/>
      <w:bookmarkStart w:id="228" w:name="_Toc144974560"/>
      <w:bookmarkStart w:id="229" w:name="_Toc247085751"/>
      <w:bookmarkStart w:id="230" w:name="_Toc152045593"/>
      <w:bookmarkStart w:id="231" w:name="_Toc179632611"/>
      <w:bookmarkStart w:id="232" w:name="_Toc246996979"/>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96602484"/>
      <w:bookmarkStart w:id="235" w:name="_Toc152045596"/>
      <w:bookmarkStart w:id="236" w:name="_Toc152042373"/>
      <w:bookmarkStart w:id="237" w:name="_Toc179632614"/>
      <w:bookmarkStart w:id="238" w:name="_Toc246996982"/>
      <w:bookmarkStart w:id="239" w:name="_Toc246996239"/>
      <w:bookmarkStart w:id="240"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9"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亳州交控通路交通设施有限公司  </w:t>
            </w:r>
            <w:permEnd w:id="39"/>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E1FFB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采购人按批次要货，每批次货物运抵采购方指定地点，经采购人验收合格并签署验收单后，采购人向成交人支付该批次合格货物价款的95%，余下5%待货物全部供货完成并经验收合格，项目竣工验收后二个月内采购人向成交人支付至全部合格货物价款的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一、采购人要求</w:t>
      </w:r>
    </w:p>
    <w:p w14:paraId="14695036">
      <w:pPr>
        <w:wordWrap w:val="0"/>
        <w:spacing w:line="480" w:lineRule="exact"/>
        <w:ind w:firstLine="560" w:firstLineChars="200"/>
        <w:jc w:val="both"/>
        <w:rPr>
          <w:rFonts w:hint="default"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1、违约行为处理方式</w:t>
      </w:r>
      <w:r>
        <w:rPr>
          <w:rFonts w:hint="eastAsia" w:asciiTheme="minorEastAsia" w:hAnsiTheme="minorEastAsia" w:cstheme="minorEastAsia"/>
          <w:kern w:val="2"/>
          <w:sz w:val="28"/>
          <w:szCs w:val="28"/>
          <w:lang w:val="en-US" w:eastAsia="zh-CN"/>
        </w:rPr>
        <w:t>：</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3763"/>
        <w:gridCol w:w="4090"/>
      </w:tblGrid>
      <w:tr w14:paraId="37477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3CA37BE6">
            <w:pPr>
              <w:pStyle w:val="16"/>
              <w:spacing w:after="0"/>
              <w:ind w:left="0" w:leftChars="0" w:firstLine="0" w:firstLineChars="0"/>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序号</w:t>
            </w:r>
          </w:p>
        </w:tc>
        <w:tc>
          <w:tcPr>
            <w:tcW w:w="0" w:type="auto"/>
            <w:vAlign w:val="center"/>
          </w:tcPr>
          <w:p w14:paraId="42B7DDA3">
            <w:pPr>
              <w:pStyle w:val="16"/>
              <w:spacing w:after="0"/>
              <w:ind w:left="0" w:leftChars="0" w:firstLine="0" w:firstLineChars="0"/>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违约行为</w:t>
            </w:r>
          </w:p>
        </w:tc>
        <w:tc>
          <w:tcPr>
            <w:tcW w:w="0" w:type="auto"/>
            <w:vAlign w:val="center"/>
          </w:tcPr>
          <w:p w14:paraId="7DF42FEE">
            <w:pPr>
              <w:pStyle w:val="16"/>
              <w:spacing w:after="0"/>
              <w:ind w:left="0" w:leftChars="0" w:firstLine="0" w:firstLineChars="0"/>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处理方式</w:t>
            </w:r>
          </w:p>
        </w:tc>
      </w:tr>
      <w:tr w14:paraId="05179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798545D3">
            <w:pPr>
              <w:pStyle w:val="16"/>
              <w:spacing w:after="0"/>
              <w:ind w:left="0" w:leftChars="0" w:firstLine="0" w:firstLineChars="0"/>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1</w:t>
            </w:r>
          </w:p>
        </w:tc>
        <w:tc>
          <w:tcPr>
            <w:tcW w:w="0" w:type="auto"/>
            <w:vAlign w:val="center"/>
          </w:tcPr>
          <w:p w14:paraId="0EB7B977">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lang w:val="en-US" w:eastAsia="zh-CN"/>
              </w:rPr>
              <w:t>如</w:t>
            </w:r>
            <w:r>
              <w:rPr>
                <w:rFonts w:hint="eastAsia" w:ascii="宋体" w:hAnsi="宋体" w:eastAsia="宋体" w:cs="宋体"/>
                <w:sz w:val="24"/>
                <w:szCs w:val="24"/>
                <w:u w:val="none"/>
              </w:rPr>
              <w:t>因</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原因，造成供货产品质量不合格、未按合同约定或规范标准供货</w:t>
            </w:r>
            <w:r>
              <w:rPr>
                <w:rFonts w:hint="eastAsia" w:ascii="宋体" w:hAnsi="宋体" w:eastAsia="宋体" w:cs="宋体"/>
                <w:sz w:val="24"/>
                <w:szCs w:val="24"/>
                <w:u w:val="none"/>
                <w:lang w:val="en-US" w:eastAsia="zh-CN"/>
              </w:rPr>
              <w:t>的</w:t>
            </w:r>
            <w:r>
              <w:rPr>
                <w:rFonts w:hint="eastAsia" w:ascii="宋体" w:hAnsi="宋体" w:cs="宋体"/>
                <w:sz w:val="24"/>
                <w:szCs w:val="24"/>
                <w:u w:val="none"/>
                <w:lang w:val="en-US" w:eastAsia="zh-CN"/>
              </w:rPr>
              <w:t>，或</w:t>
            </w:r>
            <w:r>
              <w:rPr>
                <w:rFonts w:hint="eastAsia" w:ascii="宋体" w:hAnsi="宋体" w:eastAsia="宋体" w:cs="宋体"/>
                <w:sz w:val="24"/>
                <w:szCs w:val="24"/>
                <w:u w:val="none"/>
                <w:lang w:eastAsia="zh-CN"/>
              </w:rPr>
              <w:t>因材料不符合国标及图纸要求造成材料退场的。</w:t>
            </w:r>
          </w:p>
        </w:tc>
        <w:tc>
          <w:tcPr>
            <w:tcW w:w="0" w:type="auto"/>
            <w:vAlign w:val="center"/>
          </w:tcPr>
          <w:p w14:paraId="074ADAA9">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lang w:val="en-US"/>
              </w:rPr>
            </w:pPr>
            <w:r>
              <w:rPr>
                <w:rFonts w:hint="eastAsia" w:ascii="宋体" w:hAnsi="宋体" w:cs="宋体"/>
                <w:sz w:val="24"/>
                <w:szCs w:val="24"/>
                <w:u w:val="none"/>
                <w:lang w:val="en-US" w:eastAsia="zh-CN"/>
              </w:rPr>
              <w:t>1、</w:t>
            </w:r>
            <w:r>
              <w:rPr>
                <w:rFonts w:hint="eastAsia" w:ascii="宋体" w:hAnsi="宋体" w:eastAsia="宋体" w:cs="宋体"/>
                <w:sz w:val="24"/>
                <w:szCs w:val="24"/>
                <w:u w:val="none"/>
              </w:rPr>
              <w:t>采购人有权予以拒收，</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应对质量不合格的产品实行包退、包换</w:t>
            </w:r>
            <w:r>
              <w:rPr>
                <w:rFonts w:hint="eastAsia" w:ascii="宋体" w:hAnsi="宋体" w:eastAsia="宋体" w:cs="宋体"/>
                <w:sz w:val="24"/>
                <w:szCs w:val="24"/>
                <w:u w:val="none"/>
                <w:lang w:eastAsia="zh-CN"/>
              </w:rPr>
              <w:t>。</w:t>
            </w:r>
            <w:r>
              <w:rPr>
                <w:rFonts w:hint="eastAsia" w:ascii="宋体" w:hAnsi="宋体" w:eastAsia="宋体" w:cs="宋体"/>
                <w:sz w:val="24"/>
                <w:szCs w:val="24"/>
                <w:u w:val="none"/>
                <w:lang w:val="en-US" w:eastAsia="zh-CN"/>
              </w:rPr>
              <w:t>且</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需向采购人承担2000元违约金每次，从当期货物结算价款中直接扣除。</w:t>
            </w:r>
          </w:p>
          <w:p w14:paraId="60BCC529">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cs="宋体"/>
                <w:sz w:val="24"/>
                <w:szCs w:val="24"/>
                <w:u w:val="none"/>
                <w:lang w:val="en-US" w:eastAsia="zh-CN"/>
              </w:rPr>
              <w:t>2、</w:t>
            </w:r>
            <w:r>
              <w:rPr>
                <w:rFonts w:hint="eastAsia" w:ascii="宋体" w:hAnsi="宋体" w:eastAsia="宋体" w:cs="宋体"/>
                <w:sz w:val="24"/>
                <w:szCs w:val="24"/>
                <w:u w:val="none"/>
              </w:rPr>
              <w:t>若因供应商供应产品的质量问题（以次充好或偷工减料）所造成的工程安全事故或延期交货，</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应承担所有经济赔偿和法律责任。</w:t>
            </w:r>
          </w:p>
          <w:p w14:paraId="3ADEA1A7">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vertAlign w:val="baseline"/>
                <w:lang w:eastAsia="zh-CN"/>
              </w:rPr>
            </w:pPr>
            <w:r>
              <w:rPr>
                <w:rFonts w:hint="eastAsia" w:ascii="宋体" w:hAnsi="宋体" w:cs="宋体"/>
                <w:sz w:val="24"/>
                <w:szCs w:val="24"/>
                <w:u w:val="none"/>
                <w:lang w:val="en-US" w:eastAsia="zh-CN"/>
              </w:rPr>
              <w:t>3、发现3次及以上该违约行为的</w:t>
            </w:r>
            <w:r>
              <w:rPr>
                <w:rFonts w:hint="eastAsia" w:ascii="宋体" w:hAnsi="宋体" w:eastAsia="宋体" w:cs="宋体"/>
                <w:sz w:val="24"/>
                <w:szCs w:val="24"/>
                <w:u w:val="none"/>
                <w:lang w:val="en-US" w:eastAsia="zh-CN"/>
              </w:rPr>
              <w:t>，</w:t>
            </w:r>
            <w:r>
              <w:rPr>
                <w:rFonts w:hint="eastAsia" w:ascii="宋体" w:hAnsi="宋体" w:eastAsia="宋体" w:cs="宋体"/>
                <w:sz w:val="24"/>
                <w:szCs w:val="24"/>
                <w:u w:val="none"/>
              </w:rPr>
              <w:t>采购人有权单方面解除合同，并没收</w:t>
            </w:r>
            <w:r>
              <w:rPr>
                <w:rFonts w:hint="eastAsia" w:ascii="宋体" w:hAnsi="宋体" w:eastAsia="宋体" w:cs="宋体"/>
                <w:sz w:val="24"/>
                <w:szCs w:val="24"/>
                <w:u w:val="none"/>
                <w:lang w:val="en-US" w:eastAsia="zh-CN"/>
              </w:rPr>
              <w:t>供应商全部</w:t>
            </w:r>
            <w:r>
              <w:rPr>
                <w:rFonts w:hint="eastAsia" w:ascii="宋体" w:hAnsi="宋体" w:eastAsia="宋体" w:cs="宋体"/>
                <w:sz w:val="24"/>
                <w:szCs w:val="24"/>
                <w:u w:val="none"/>
              </w:rPr>
              <w:t>履约保证金</w:t>
            </w:r>
            <w:r>
              <w:rPr>
                <w:rFonts w:hint="eastAsia" w:ascii="宋体" w:hAnsi="宋体" w:eastAsia="宋体" w:cs="宋体"/>
                <w:sz w:val="24"/>
                <w:szCs w:val="24"/>
                <w:u w:val="none"/>
                <w:lang w:eastAsia="zh-CN"/>
              </w:rPr>
              <w:t>。</w:t>
            </w:r>
          </w:p>
        </w:tc>
      </w:tr>
      <w:tr w14:paraId="081F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2CD8924E">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2</w:t>
            </w:r>
          </w:p>
        </w:tc>
        <w:tc>
          <w:tcPr>
            <w:tcW w:w="0" w:type="auto"/>
            <w:vAlign w:val="center"/>
          </w:tcPr>
          <w:p w14:paraId="27A60198">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lang w:val="en-US" w:eastAsia="zh-CN"/>
              </w:rPr>
            </w:pPr>
            <w:r>
              <w:rPr>
                <w:rFonts w:hint="eastAsia" w:ascii="宋体" w:hAnsi="宋体" w:eastAsia="宋体" w:cs="宋体"/>
                <w:kern w:val="2"/>
                <w:sz w:val="24"/>
                <w:szCs w:val="24"/>
                <w:u w:val="none"/>
                <w:lang w:val="en-US" w:eastAsia="zh-CN"/>
              </w:rPr>
              <w:t>3次以内（不含3次），</w:t>
            </w:r>
            <w:r>
              <w:rPr>
                <w:rFonts w:hint="eastAsia" w:ascii="宋体" w:hAnsi="宋体" w:eastAsia="宋体" w:cs="宋体"/>
                <w:kern w:val="2"/>
                <w:sz w:val="24"/>
                <w:szCs w:val="24"/>
                <w:u w:val="none"/>
              </w:rPr>
              <w:t>因</w:t>
            </w:r>
            <w:r>
              <w:rPr>
                <w:rFonts w:hint="eastAsia" w:ascii="宋体" w:hAnsi="宋体" w:eastAsia="宋体" w:cs="宋体"/>
                <w:kern w:val="2"/>
                <w:sz w:val="24"/>
                <w:szCs w:val="24"/>
                <w:u w:val="none"/>
                <w:lang w:eastAsia="zh-CN"/>
              </w:rPr>
              <w:t>供应商</w:t>
            </w:r>
            <w:r>
              <w:rPr>
                <w:rFonts w:hint="eastAsia" w:ascii="宋体" w:hAnsi="宋体" w:eastAsia="宋体" w:cs="宋体"/>
                <w:kern w:val="2"/>
                <w:sz w:val="24"/>
                <w:szCs w:val="24"/>
                <w:u w:val="none"/>
              </w:rPr>
              <w:t>原因未能按期供货，造成项目工期延误给采购人造成损失的</w:t>
            </w:r>
          </w:p>
        </w:tc>
        <w:tc>
          <w:tcPr>
            <w:tcW w:w="0" w:type="auto"/>
            <w:vAlign w:val="center"/>
          </w:tcPr>
          <w:p w14:paraId="3BC4CCC1">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vertAlign w:val="baseline"/>
              </w:rPr>
            </w:pP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应据实承担所有经济赔偿和法律责任，误期赔偿费按照</w:t>
            </w:r>
            <w:r>
              <w:rPr>
                <w:rFonts w:hint="eastAsia" w:ascii="宋体" w:hAnsi="宋体" w:cs="宋体"/>
                <w:sz w:val="24"/>
                <w:szCs w:val="24"/>
                <w:u w:val="none"/>
                <w:lang w:val="en-US" w:eastAsia="zh-CN"/>
              </w:rPr>
              <w:t>2</w:t>
            </w:r>
            <w:r>
              <w:rPr>
                <w:rFonts w:hint="eastAsia" w:ascii="宋体" w:hAnsi="宋体" w:eastAsia="宋体" w:cs="宋体"/>
                <w:sz w:val="24"/>
                <w:szCs w:val="24"/>
                <w:u w:val="none"/>
              </w:rPr>
              <w:t>000元/天计算（特殊加工定制的材料除外），并承担采购人因此所受的损失费用。</w:t>
            </w:r>
          </w:p>
        </w:tc>
      </w:tr>
      <w:tr w14:paraId="2F7D3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16538BB6">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3</w:t>
            </w:r>
          </w:p>
        </w:tc>
        <w:tc>
          <w:tcPr>
            <w:tcW w:w="0" w:type="auto"/>
            <w:vAlign w:val="center"/>
          </w:tcPr>
          <w:p w14:paraId="32364CB2">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lang w:val="en-US" w:eastAsia="zh-CN"/>
              </w:rPr>
            </w:pPr>
            <w:r>
              <w:rPr>
                <w:rFonts w:hint="eastAsia" w:ascii="宋体" w:hAnsi="宋体" w:eastAsia="宋体" w:cs="宋体"/>
                <w:kern w:val="2"/>
                <w:sz w:val="24"/>
                <w:szCs w:val="24"/>
                <w:u w:val="none"/>
                <w:lang w:val="en-US" w:eastAsia="zh-CN"/>
              </w:rPr>
              <w:t>因</w:t>
            </w:r>
            <w:r>
              <w:rPr>
                <w:rFonts w:hint="eastAsia" w:ascii="宋体" w:hAnsi="宋体" w:eastAsia="宋体" w:cs="宋体"/>
                <w:kern w:val="2"/>
                <w:sz w:val="24"/>
                <w:szCs w:val="24"/>
                <w:u w:val="none"/>
                <w:lang w:eastAsia="zh-CN"/>
              </w:rPr>
              <w:t>供应商</w:t>
            </w:r>
            <w:r>
              <w:rPr>
                <w:rFonts w:hint="eastAsia" w:ascii="宋体" w:hAnsi="宋体" w:eastAsia="宋体" w:cs="宋体"/>
                <w:kern w:val="2"/>
                <w:sz w:val="24"/>
                <w:szCs w:val="24"/>
                <w:u w:val="none"/>
              </w:rPr>
              <w:t>原因未能按期供货，逾期超过5天</w:t>
            </w:r>
            <w:r>
              <w:rPr>
                <w:rFonts w:hint="eastAsia" w:ascii="宋体" w:hAnsi="宋体" w:eastAsia="宋体" w:cs="宋体"/>
                <w:kern w:val="2"/>
                <w:sz w:val="24"/>
                <w:szCs w:val="24"/>
                <w:u w:val="none"/>
                <w:lang w:val="en-US" w:eastAsia="zh-CN"/>
              </w:rPr>
              <w:t>的</w:t>
            </w:r>
          </w:p>
        </w:tc>
        <w:tc>
          <w:tcPr>
            <w:tcW w:w="0" w:type="auto"/>
            <w:vAlign w:val="center"/>
          </w:tcPr>
          <w:p w14:paraId="313F0813">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rPr>
              <w:t>采购人有权解除合同，</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lang w:val="en-US" w:eastAsia="zh-CN"/>
              </w:rPr>
              <w:t>需</w:t>
            </w:r>
            <w:r>
              <w:rPr>
                <w:rFonts w:hint="eastAsia" w:ascii="宋体" w:hAnsi="宋体" w:eastAsia="宋体" w:cs="宋体"/>
                <w:sz w:val="24"/>
                <w:szCs w:val="24"/>
                <w:u w:val="none"/>
              </w:rPr>
              <w:t>承担逾期交货部分货款15%的违约金</w:t>
            </w:r>
          </w:p>
        </w:tc>
      </w:tr>
      <w:tr w14:paraId="1457B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7CF1ED16">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4</w:t>
            </w:r>
          </w:p>
        </w:tc>
        <w:tc>
          <w:tcPr>
            <w:tcW w:w="0" w:type="auto"/>
            <w:vAlign w:val="center"/>
          </w:tcPr>
          <w:p w14:paraId="33C072F0">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rPr>
            </w:pPr>
            <w:r>
              <w:rPr>
                <w:rFonts w:hint="eastAsia" w:ascii="宋体" w:hAnsi="宋体" w:eastAsia="宋体" w:cs="宋体"/>
                <w:kern w:val="2"/>
                <w:sz w:val="24"/>
                <w:szCs w:val="24"/>
                <w:u w:val="none"/>
              </w:rPr>
              <w:t>3次及以上供货时间严重超出合同约定或订单通知时限要求的</w:t>
            </w:r>
          </w:p>
        </w:tc>
        <w:tc>
          <w:tcPr>
            <w:tcW w:w="0" w:type="auto"/>
            <w:vAlign w:val="center"/>
          </w:tcPr>
          <w:p w14:paraId="5F197AE4">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rPr>
              <w:t>采购人有权单方面解除合同，并没收其全部履约保证金。</w:t>
            </w:r>
          </w:p>
        </w:tc>
      </w:tr>
      <w:tr w14:paraId="06836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178801EF">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5</w:t>
            </w:r>
          </w:p>
        </w:tc>
        <w:tc>
          <w:tcPr>
            <w:tcW w:w="0" w:type="auto"/>
            <w:vAlign w:val="center"/>
          </w:tcPr>
          <w:p w14:paraId="40D5D28F">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lang w:val="en-US" w:eastAsia="zh-CN"/>
              </w:rPr>
            </w:pPr>
            <w:r>
              <w:rPr>
                <w:rFonts w:hint="eastAsia" w:ascii="宋体" w:hAnsi="宋体" w:eastAsia="宋体" w:cs="宋体"/>
                <w:kern w:val="2"/>
                <w:sz w:val="24"/>
                <w:szCs w:val="24"/>
                <w:u w:val="none"/>
                <w:lang w:val="en-US" w:eastAsia="zh-CN"/>
              </w:rPr>
              <w:t>3次以内（不含3次）</w:t>
            </w:r>
            <w:r>
              <w:rPr>
                <w:rFonts w:hint="eastAsia" w:ascii="宋体" w:hAnsi="宋体" w:eastAsia="宋体" w:cs="宋体"/>
                <w:kern w:val="2"/>
                <w:sz w:val="24"/>
                <w:szCs w:val="24"/>
                <w:u w:val="none"/>
              </w:rPr>
              <w:t>虚报供应产品数量或价格的</w:t>
            </w:r>
          </w:p>
        </w:tc>
        <w:tc>
          <w:tcPr>
            <w:tcW w:w="0" w:type="auto"/>
            <w:vAlign w:val="center"/>
          </w:tcPr>
          <w:p w14:paraId="5E8562DA">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rPr>
              <w:t>采购人有权扣除履约保证金的10%每次作为违约金</w:t>
            </w:r>
          </w:p>
        </w:tc>
      </w:tr>
      <w:tr w14:paraId="173E3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73BE6DC5">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6</w:t>
            </w:r>
          </w:p>
        </w:tc>
        <w:tc>
          <w:tcPr>
            <w:tcW w:w="0" w:type="auto"/>
            <w:vAlign w:val="center"/>
          </w:tcPr>
          <w:p w14:paraId="43BB3B3F">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lang w:val="en-US" w:eastAsia="zh-CN"/>
              </w:rPr>
            </w:pPr>
            <w:r>
              <w:rPr>
                <w:rFonts w:hint="eastAsia" w:ascii="宋体" w:hAnsi="宋体" w:eastAsia="宋体" w:cs="宋体"/>
                <w:kern w:val="2"/>
                <w:sz w:val="24"/>
                <w:szCs w:val="24"/>
                <w:u w:val="none"/>
              </w:rPr>
              <w:t>3次及以上虚报供货产品数量或价格的</w:t>
            </w:r>
          </w:p>
        </w:tc>
        <w:tc>
          <w:tcPr>
            <w:tcW w:w="0" w:type="auto"/>
            <w:vAlign w:val="center"/>
          </w:tcPr>
          <w:p w14:paraId="25799881">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rPr>
              <w:t>采购人有权单方面解除合同，并没收其</w:t>
            </w:r>
            <w:r>
              <w:rPr>
                <w:rFonts w:hint="eastAsia" w:ascii="宋体" w:hAnsi="宋体" w:eastAsia="宋体" w:cs="宋体"/>
                <w:sz w:val="24"/>
                <w:szCs w:val="24"/>
                <w:u w:val="none"/>
                <w:lang w:val="en-US" w:eastAsia="zh-CN"/>
              </w:rPr>
              <w:t>全部</w:t>
            </w:r>
            <w:r>
              <w:rPr>
                <w:rFonts w:hint="eastAsia" w:ascii="宋体" w:hAnsi="宋体" w:eastAsia="宋体" w:cs="宋体"/>
                <w:sz w:val="24"/>
                <w:szCs w:val="24"/>
                <w:u w:val="none"/>
              </w:rPr>
              <w:t>履约保证金</w:t>
            </w:r>
            <w:r>
              <w:rPr>
                <w:rFonts w:hint="eastAsia" w:ascii="宋体" w:hAnsi="宋体" w:eastAsia="宋体" w:cs="宋体"/>
                <w:sz w:val="24"/>
                <w:szCs w:val="24"/>
                <w:u w:val="none"/>
                <w:lang w:eastAsia="zh-CN"/>
              </w:rPr>
              <w:t>。</w:t>
            </w:r>
          </w:p>
        </w:tc>
      </w:tr>
      <w:tr w14:paraId="41302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1DE0B66A">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7</w:t>
            </w:r>
          </w:p>
        </w:tc>
        <w:tc>
          <w:tcPr>
            <w:tcW w:w="0" w:type="auto"/>
            <w:vAlign w:val="center"/>
          </w:tcPr>
          <w:p w14:paraId="09000736">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rPr>
            </w:pPr>
            <w:r>
              <w:rPr>
                <w:rFonts w:hint="eastAsia" w:ascii="宋体" w:hAnsi="宋体" w:eastAsia="宋体" w:cs="宋体"/>
                <w:kern w:val="2"/>
                <w:sz w:val="24"/>
                <w:szCs w:val="24"/>
                <w:u w:val="none"/>
                <w:lang w:eastAsia="zh-CN"/>
              </w:rPr>
              <w:t>供应商</w:t>
            </w:r>
            <w:r>
              <w:rPr>
                <w:rFonts w:hint="eastAsia" w:ascii="宋体" w:hAnsi="宋体" w:eastAsia="宋体" w:cs="宋体"/>
                <w:kern w:val="2"/>
                <w:sz w:val="24"/>
                <w:szCs w:val="24"/>
                <w:u w:val="none"/>
                <w:lang w:val="en-US" w:eastAsia="zh-CN"/>
              </w:rPr>
              <w:t>工作</w:t>
            </w:r>
            <w:r>
              <w:rPr>
                <w:rFonts w:hint="eastAsia" w:ascii="宋体" w:hAnsi="宋体" w:eastAsia="宋体" w:cs="宋体"/>
                <w:kern w:val="2"/>
                <w:sz w:val="24"/>
                <w:szCs w:val="24"/>
                <w:u w:val="none"/>
              </w:rPr>
              <w:t>人员在采购人施工现场造成本人或者第三人人身、财产损失</w:t>
            </w:r>
            <w:r>
              <w:rPr>
                <w:rFonts w:hint="eastAsia" w:ascii="宋体" w:hAnsi="宋体" w:eastAsia="宋体" w:cs="宋体"/>
                <w:kern w:val="2"/>
                <w:sz w:val="24"/>
                <w:szCs w:val="24"/>
                <w:u w:val="none"/>
                <w:lang w:eastAsia="zh-CN"/>
              </w:rPr>
              <w:t>供应商</w:t>
            </w:r>
            <w:r>
              <w:rPr>
                <w:rFonts w:hint="eastAsia" w:ascii="宋体" w:hAnsi="宋体" w:eastAsia="宋体" w:cs="宋体"/>
                <w:kern w:val="2"/>
                <w:sz w:val="24"/>
                <w:szCs w:val="24"/>
                <w:u w:val="none"/>
                <w:lang w:val="en-US" w:eastAsia="zh-CN"/>
              </w:rPr>
              <w:t>工作人员</w:t>
            </w:r>
            <w:r>
              <w:rPr>
                <w:rFonts w:hint="eastAsia" w:ascii="宋体" w:hAnsi="宋体" w:eastAsia="宋体" w:cs="宋体"/>
                <w:kern w:val="2"/>
                <w:sz w:val="24"/>
                <w:szCs w:val="24"/>
                <w:u w:val="none"/>
              </w:rPr>
              <w:t>在采购人施工现场造成本人或者第三人人身、财产损失</w:t>
            </w:r>
          </w:p>
        </w:tc>
        <w:tc>
          <w:tcPr>
            <w:tcW w:w="0" w:type="auto"/>
            <w:vAlign w:val="center"/>
          </w:tcPr>
          <w:p w14:paraId="47D10B4E">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应自行承担责任，若因此导致采购人担责，采购人有权对</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追偿</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应自行承担责任，若因此导致采购人担责，采购人有权对</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追偿</w:t>
            </w:r>
          </w:p>
        </w:tc>
      </w:tr>
      <w:tr w14:paraId="77A67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297579E2">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8</w:t>
            </w:r>
          </w:p>
        </w:tc>
        <w:tc>
          <w:tcPr>
            <w:tcW w:w="0" w:type="auto"/>
            <w:vAlign w:val="center"/>
          </w:tcPr>
          <w:p w14:paraId="2B884B8A">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rPr>
            </w:pPr>
            <w:r>
              <w:rPr>
                <w:rFonts w:hint="eastAsia" w:ascii="宋体" w:hAnsi="宋体" w:eastAsia="宋体" w:cs="宋体"/>
                <w:kern w:val="2"/>
                <w:sz w:val="24"/>
                <w:szCs w:val="24"/>
                <w:u w:val="none"/>
              </w:rPr>
              <w:t>其他严重损害采购人利益的行为</w:t>
            </w:r>
          </w:p>
        </w:tc>
        <w:tc>
          <w:tcPr>
            <w:tcW w:w="0" w:type="auto"/>
            <w:vAlign w:val="center"/>
          </w:tcPr>
          <w:p w14:paraId="132C0310">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rPr>
              <w:t>采购人有权单方面解除合同，并没收其</w:t>
            </w:r>
            <w:r>
              <w:rPr>
                <w:rFonts w:hint="eastAsia" w:ascii="宋体" w:hAnsi="宋体" w:eastAsia="宋体" w:cs="宋体"/>
                <w:sz w:val="24"/>
                <w:szCs w:val="24"/>
                <w:u w:val="none"/>
                <w:lang w:val="en-US" w:eastAsia="zh-CN"/>
              </w:rPr>
              <w:t>全部</w:t>
            </w:r>
            <w:r>
              <w:rPr>
                <w:rFonts w:hint="eastAsia" w:ascii="宋体" w:hAnsi="宋体" w:eastAsia="宋体" w:cs="宋体"/>
                <w:sz w:val="24"/>
                <w:szCs w:val="24"/>
                <w:u w:val="none"/>
              </w:rPr>
              <w:t>履约保证金</w:t>
            </w:r>
            <w:r>
              <w:rPr>
                <w:rFonts w:hint="eastAsia" w:ascii="宋体" w:hAnsi="宋体" w:eastAsia="宋体" w:cs="宋体"/>
                <w:sz w:val="24"/>
                <w:szCs w:val="24"/>
                <w:u w:val="none"/>
                <w:lang w:eastAsia="zh-CN"/>
              </w:rPr>
              <w:t>。</w:t>
            </w:r>
          </w:p>
        </w:tc>
      </w:tr>
    </w:tbl>
    <w:p w14:paraId="6A667B1B">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2、所供货物需符合施工图设计要求且进场前需提供合格证、检测证明等相关材料，由供应商负责货物的装车运输，并运至采购人指定地点，到达后由供应商负责卸货，采购人将委派专人对货物的数量、质量及规格等进行验收，并在送货单据上签字确认。</w:t>
      </w:r>
    </w:p>
    <w:p w14:paraId="3E0B4FF3">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3、供应商运至现场的材料，需确保材料符合国标及图纸要求。</w:t>
      </w:r>
    </w:p>
    <w:p w14:paraId="1577A2CE">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4、材料进场前需先提供样品，经采购人确认后方可进场，后期材料需与样品一致。</w:t>
      </w:r>
    </w:p>
    <w:p w14:paraId="27B208C6">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5、供应商需按采购人要求的产品数量供货，如发生货物剩余，由供应商回收，所产生的装卸运输费用由供应商承担，采购人按实际合格供货量据实结算。</w:t>
      </w:r>
    </w:p>
    <w:p w14:paraId="5ED98447">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6、供应商需提供产品的“安徽省新型墙体材料产品证书”，确认产品名称（蒸压加气混凝土板），供应产品须满足国家法律法规要求并提供相关产品检测合格报告。</w:t>
      </w:r>
    </w:p>
    <w:p w14:paraId="33514001">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7、采购人对供应产品具有自主选择权，实际供应产品的数量、规格、型号等均以采购人订单通知为准。</w:t>
      </w:r>
    </w:p>
    <w:p w14:paraId="275F81A4">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8、对于采购人以书面或电话形式提出的质量、服务等问题，供应商应于24 小时内予以答复响应。</w:t>
      </w:r>
    </w:p>
    <w:p w14:paraId="0A9DECB0">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9、供应商对供应产品应以国家或行业标准配送，不得以次充好，不得偷工减料。</w:t>
      </w:r>
    </w:p>
    <w:p w14:paraId="538273BE">
      <w:pPr>
        <w:wordWrap w:val="0"/>
        <w:spacing w:line="480" w:lineRule="exact"/>
        <w:ind w:firstLine="560" w:firstLineChars="200"/>
        <w:jc w:val="both"/>
        <w:rPr>
          <w:rFonts w:hint="eastAsia" w:asciiTheme="minorEastAsia" w:hAnsiTheme="minorEastAsia" w:eastAsiaTheme="minorEastAsia" w:cstheme="minorEastAsia"/>
          <w:kern w:val="2"/>
          <w:sz w:val="28"/>
          <w:szCs w:val="28"/>
          <w:lang w:eastAsia="zh-CN"/>
        </w:rPr>
      </w:pPr>
      <w:r>
        <w:rPr>
          <w:rFonts w:hint="eastAsia" w:asciiTheme="minorEastAsia" w:hAnsiTheme="minorEastAsia" w:eastAsiaTheme="minorEastAsia" w:cstheme="minorEastAsia"/>
          <w:kern w:val="2"/>
          <w:sz w:val="28"/>
          <w:szCs w:val="28"/>
          <w:lang w:val="en-US" w:eastAsia="zh-CN"/>
        </w:rPr>
        <w:t>10、响应报价包括但不限于以下费用：</w:t>
      </w:r>
      <w:r>
        <w:rPr>
          <w:rFonts w:hint="eastAsia" w:asciiTheme="minorEastAsia" w:hAnsiTheme="minorEastAsia" w:eastAsiaTheme="minorEastAsia" w:cstheme="minorEastAsia"/>
          <w:kern w:val="2"/>
          <w:sz w:val="28"/>
          <w:szCs w:val="28"/>
          <w:lang w:eastAsia="zh-CN"/>
        </w:rPr>
        <w:t>原材料费、生产加工费、装卸费、运杂费、辅材费（配套连接件（按照方案施工提供）、嵌缝剂、专用粘结砂浆等）、检验试验费、运输费、人工费、过路过江过桥费、车辆油料费、保险费、利润、风险金、税金等抵达指定交货地点的费用以及完成本项目采购范围内各阶段工作内容所需的全部费用，成交后价格不予调整，其他未尽事宜应统一考虑在报价内。</w:t>
      </w:r>
    </w:p>
    <w:p w14:paraId="28476E0B">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11、</w:t>
      </w:r>
      <w:r>
        <w:rPr>
          <w:rFonts w:hint="eastAsia" w:asciiTheme="minorEastAsia" w:hAnsiTheme="minorEastAsia" w:eastAsiaTheme="minorEastAsia" w:cstheme="minorEastAsia"/>
          <w:kern w:val="2"/>
          <w:sz w:val="28"/>
          <w:szCs w:val="28"/>
          <w:lang w:eastAsia="zh-CN"/>
        </w:rPr>
        <w:t>成交后成交人须提供供货联络员一名</w:t>
      </w:r>
      <w:r>
        <w:rPr>
          <w:rFonts w:hint="eastAsia" w:asciiTheme="minorEastAsia" w:hAnsiTheme="minorEastAsia" w:eastAsiaTheme="minorEastAsia" w:cstheme="minorEastAsia"/>
          <w:kern w:val="2"/>
          <w:sz w:val="28"/>
          <w:szCs w:val="28"/>
          <w:lang w:val="en-US" w:eastAsia="zh-CN"/>
        </w:rPr>
        <w:t>。</w:t>
      </w:r>
    </w:p>
    <w:p w14:paraId="17E55FB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12、采购人不对合同期间货物的采购数量做任何承诺，暂估采购数量仅作参考，如合同期间货物的采购数量不足，供应商不得以此为由调整供货单价，采购人对供应商不承担任何违约责任。</w:t>
      </w:r>
    </w:p>
    <w:p w14:paraId="7DEF61E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二、采购清单：</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515"/>
        <w:gridCol w:w="990"/>
        <w:gridCol w:w="936"/>
        <w:gridCol w:w="2062"/>
        <w:gridCol w:w="847"/>
        <w:gridCol w:w="847"/>
        <w:gridCol w:w="864"/>
      </w:tblGrid>
      <w:tr w14:paraId="282D6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267" w:type="pct"/>
            <w:tcBorders>
              <w:top w:val="single" w:color="auto" w:sz="4" w:space="0"/>
              <w:left w:val="single" w:color="auto" w:sz="4" w:space="0"/>
              <w:right w:val="single" w:color="auto" w:sz="4" w:space="0"/>
            </w:tcBorders>
            <w:noWrap w:val="0"/>
            <w:vAlign w:val="center"/>
          </w:tcPr>
          <w:p w14:paraId="43D67247">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序号</w:t>
            </w:r>
          </w:p>
        </w:tc>
        <w:tc>
          <w:tcPr>
            <w:tcW w:w="890" w:type="pct"/>
            <w:tcBorders>
              <w:top w:val="single" w:color="auto" w:sz="4" w:space="0"/>
              <w:left w:val="single" w:color="auto" w:sz="4" w:space="0"/>
              <w:right w:val="single" w:color="auto" w:sz="4" w:space="0"/>
            </w:tcBorders>
            <w:noWrap w:val="0"/>
            <w:vAlign w:val="center"/>
          </w:tcPr>
          <w:p w14:paraId="4CE482E0">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材料名称</w:t>
            </w:r>
          </w:p>
        </w:tc>
        <w:tc>
          <w:tcPr>
            <w:tcW w:w="582" w:type="pct"/>
            <w:tcBorders>
              <w:top w:val="single" w:color="auto" w:sz="4" w:space="0"/>
              <w:left w:val="single" w:color="auto" w:sz="4" w:space="0"/>
              <w:right w:val="single" w:color="auto" w:sz="4" w:space="0"/>
            </w:tcBorders>
            <w:noWrap w:val="0"/>
            <w:vAlign w:val="center"/>
          </w:tcPr>
          <w:p w14:paraId="30252173">
            <w:pPr>
              <w:widowControl/>
              <w:jc w:val="center"/>
              <w:textAlignment w:val="center"/>
              <w:rPr>
                <w:sz w:val="24"/>
                <w:szCs w:val="24"/>
              </w:rPr>
            </w:pPr>
            <w:r>
              <w:rPr>
                <w:rFonts w:hint="eastAsia" w:ascii="宋体" w:hAnsi="宋体" w:cs="宋体"/>
                <w:color w:val="000000"/>
                <w:kern w:val="0"/>
                <w:sz w:val="24"/>
                <w:szCs w:val="24"/>
                <w:lang w:bidi="ar"/>
              </w:rPr>
              <w:t>规格型号（mm）</w:t>
            </w:r>
          </w:p>
        </w:tc>
        <w:tc>
          <w:tcPr>
            <w:tcW w:w="549" w:type="pct"/>
            <w:tcBorders>
              <w:top w:val="single" w:color="auto" w:sz="4" w:space="0"/>
              <w:left w:val="single" w:color="auto" w:sz="4" w:space="0"/>
              <w:right w:val="single" w:color="auto" w:sz="4" w:space="0"/>
            </w:tcBorders>
            <w:noWrap w:val="0"/>
            <w:vAlign w:val="center"/>
          </w:tcPr>
          <w:p w14:paraId="6B52393D">
            <w:pPr>
              <w:widowControl/>
              <w:jc w:val="center"/>
              <w:textAlignment w:val="center"/>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数量</w:t>
            </w:r>
          </w:p>
          <w:p w14:paraId="6074D9D8">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（m³）</w:t>
            </w:r>
          </w:p>
        </w:tc>
        <w:tc>
          <w:tcPr>
            <w:tcW w:w="1211" w:type="pct"/>
            <w:tcBorders>
              <w:top w:val="single" w:color="auto" w:sz="4" w:space="0"/>
              <w:left w:val="single" w:color="auto" w:sz="4" w:space="0"/>
              <w:right w:val="single" w:color="auto" w:sz="4" w:space="0"/>
            </w:tcBorders>
            <w:noWrap w:val="0"/>
            <w:vAlign w:val="center"/>
          </w:tcPr>
          <w:p w14:paraId="6B730856">
            <w:pPr>
              <w:widowControl/>
              <w:ind w:firstLine="0" w:firstLineChars="0"/>
              <w:jc w:val="center"/>
              <w:textAlignment w:val="center"/>
              <w:rPr>
                <w:rFonts w:ascii="宋体" w:hAnsi="宋体" w:eastAsia="宋体" w:cs="宋体"/>
                <w:color w:val="000000"/>
                <w:sz w:val="24"/>
                <w:szCs w:val="24"/>
                <w:lang w:eastAsia="zh-CN" w:bidi="ar"/>
              </w:rPr>
            </w:pPr>
            <w:r>
              <w:rPr>
                <w:rFonts w:hint="eastAsia" w:ascii="宋体" w:hAnsi="宋体" w:eastAsia="宋体" w:cs="宋体"/>
                <w:color w:val="000000"/>
                <w:sz w:val="24"/>
                <w:szCs w:val="24"/>
                <w:lang w:eastAsia="zh-CN" w:bidi="ar"/>
              </w:rPr>
              <w:t>单价限价</w:t>
            </w:r>
          </w:p>
          <w:p w14:paraId="1F5F397F">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（元/m³</w:t>
            </w:r>
            <w:r>
              <w:rPr>
                <w:rFonts w:hint="eastAsia" w:ascii="宋体" w:hAnsi="宋体" w:cs="宋体"/>
                <w:color w:val="000000"/>
                <w:kern w:val="0"/>
                <w:sz w:val="24"/>
                <w:szCs w:val="24"/>
                <w:lang w:eastAsia="zh-CN" w:bidi="ar"/>
              </w:rPr>
              <w:t>，</w:t>
            </w:r>
            <w:r>
              <w:rPr>
                <w:rFonts w:hint="eastAsia" w:ascii="宋体" w:hAnsi="宋体" w:cs="宋体"/>
                <w:color w:val="000000"/>
                <w:kern w:val="0"/>
                <w:sz w:val="24"/>
                <w:szCs w:val="24"/>
                <w:lang w:bidi="ar"/>
              </w:rPr>
              <w:t>13%）</w:t>
            </w:r>
          </w:p>
        </w:tc>
        <w:tc>
          <w:tcPr>
            <w:tcW w:w="497" w:type="pct"/>
            <w:tcBorders>
              <w:top w:val="single" w:color="auto" w:sz="4" w:space="0"/>
              <w:left w:val="single" w:color="auto" w:sz="4" w:space="0"/>
              <w:right w:val="single" w:color="auto" w:sz="4" w:space="0"/>
            </w:tcBorders>
            <w:noWrap w:val="0"/>
            <w:vAlign w:val="center"/>
          </w:tcPr>
          <w:p w14:paraId="129A910A">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单价报价</w:t>
            </w:r>
          </w:p>
        </w:tc>
        <w:tc>
          <w:tcPr>
            <w:tcW w:w="497" w:type="pct"/>
            <w:tcBorders>
              <w:top w:val="single" w:color="auto" w:sz="4" w:space="0"/>
              <w:left w:val="single" w:color="auto" w:sz="4" w:space="0"/>
              <w:right w:val="single" w:color="auto" w:sz="4" w:space="0"/>
            </w:tcBorders>
            <w:noWrap w:val="0"/>
            <w:vAlign w:val="center"/>
          </w:tcPr>
          <w:p w14:paraId="1792B913">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总价</w:t>
            </w:r>
          </w:p>
        </w:tc>
        <w:tc>
          <w:tcPr>
            <w:tcW w:w="504" w:type="pct"/>
            <w:tcBorders>
              <w:top w:val="single" w:color="auto" w:sz="4" w:space="0"/>
              <w:left w:val="single" w:color="auto" w:sz="4" w:space="0"/>
              <w:right w:val="single" w:color="auto" w:sz="4" w:space="0"/>
            </w:tcBorders>
            <w:noWrap w:val="0"/>
            <w:vAlign w:val="center"/>
          </w:tcPr>
          <w:p w14:paraId="3F967058">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备注</w:t>
            </w:r>
          </w:p>
        </w:tc>
      </w:tr>
      <w:tr w14:paraId="4AEEA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267" w:type="pct"/>
            <w:tcBorders>
              <w:top w:val="single" w:color="auto" w:sz="4" w:space="0"/>
              <w:left w:val="single" w:color="auto" w:sz="4" w:space="0"/>
              <w:right w:val="single" w:color="auto" w:sz="4" w:space="0"/>
            </w:tcBorders>
            <w:noWrap w:val="0"/>
            <w:vAlign w:val="center"/>
          </w:tcPr>
          <w:p w14:paraId="144292E7">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w:t>
            </w:r>
          </w:p>
        </w:tc>
        <w:tc>
          <w:tcPr>
            <w:tcW w:w="890" w:type="pct"/>
            <w:tcBorders>
              <w:top w:val="single" w:color="auto" w:sz="4" w:space="0"/>
              <w:left w:val="single" w:color="auto" w:sz="4" w:space="0"/>
              <w:right w:val="single" w:color="auto" w:sz="4" w:space="0"/>
            </w:tcBorders>
            <w:noWrap w:val="0"/>
            <w:vAlign w:val="center"/>
          </w:tcPr>
          <w:p w14:paraId="3372FEBB">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ALC轻质隔墙板</w:t>
            </w:r>
          </w:p>
        </w:tc>
        <w:tc>
          <w:tcPr>
            <w:tcW w:w="582" w:type="pct"/>
            <w:tcBorders>
              <w:top w:val="single" w:color="auto" w:sz="4" w:space="0"/>
              <w:left w:val="single" w:color="auto" w:sz="4" w:space="0"/>
              <w:right w:val="single" w:color="auto" w:sz="4" w:space="0"/>
            </w:tcBorders>
            <w:noWrap w:val="0"/>
            <w:vAlign w:val="center"/>
          </w:tcPr>
          <w:p w14:paraId="5A4F09A3">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200</w:t>
            </w:r>
          </w:p>
        </w:tc>
        <w:tc>
          <w:tcPr>
            <w:tcW w:w="549" w:type="pct"/>
            <w:tcBorders>
              <w:top w:val="single" w:color="auto" w:sz="4" w:space="0"/>
              <w:left w:val="single" w:color="auto" w:sz="4" w:space="0"/>
              <w:right w:val="single" w:color="auto" w:sz="4" w:space="0"/>
            </w:tcBorders>
            <w:noWrap w:val="0"/>
            <w:vAlign w:val="center"/>
          </w:tcPr>
          <w:p w14:paraId="6844C5A1">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1400</w:t>
            </w:r>
          </w:p>
        </w:tc>
        <w:tc>
          <w:tcPr>
            <w:tcW w:w="1211" w:type="pct"/>
            <w:tcBorders>
              <w:top w:val="single" w:color="auto" w:sz="4" w:space="0"/>
              <w:left w:val="single" w:color="auto" w:sz="4" w:space="0"/>
              <w:right w:val="single" w:color="auto" w:sz="4" w:space="0"/>
            </w:tcBorders>
            <w:noWrap w:val="0"/>
            <w:vAlign w:val="center"/>
          </w:tcPr>
          <w:p w14:paraId="77A992AA">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340</w:t>
            </w:r>
          </w:p>
        </w:tc>
        <w:tc>
          <w:tcPr>
            <w:tcW w:w="497" w:type="pct"/>
            <w:tcBorders>
              <w:top w:val="single" w:color="auto" w:sz="4" w:space="0"/>
              <w:left w:val="single" w:color="auto" w:sz="4" w:space="0"/>
              <w:right w:val="single" w:color="auto" w:sz="4" w:space="0"/>
            </w:tcBorders>
            <w:noWrap w:val="0"/>
            <w:vAlign w:val="center"/>
          </w:tcPr>
          <w:p w14:paraId="432E75A8">
            <w:pPr>
              <w:widowControl/>
              <w:jc w:val="center"/>
              <w:textAlignment w:val="center"/>
              <w:rPr>
                <w:rFonts w:ascii="宋体" w:hAnsi="宋体" w:cs="宋体"/>
                <w:color w:val="000000"/>
                <w:kern w:val="0"/>
                <w:sz w:val="24"/>
                <w:szCs w:val="24"/>
                <w:lang w:bidi="ar"/>
              </w:rPr>
            </w:pPr>
          </w:p>
        </w:tc>
        <w:tc>
          <w:tcPr>
            <w:tcW w:w="497" w:type="pct"/>
            <w:tcBorders>
              <w:top w:val="single" w:color="auto" w:sz="4" w:space="0"/>
              <w:left w:val="single" w:color="auto" w:sz="4" w:space="0"/>
              <w:right w:val="single" w:color="auto" w:sz="4" w:space="0"/>
            </w:tcBorders>
            <w:noWrap w:val="0"/>
            <w:vAlign w:val="center"/>
          </w:tcPr>
          <w:p w14:paraId="3FC7C75F">
            <w:pPr>
              <w:widowControl/>
              <w:jc w:val="center"/>
              <w:textAlignment w:val="center"/>
              <w:rPr>
                <w:rFonts w:ascii="宋体" w:hAnsi="宋体" w:cs="宋体"/>
                <w:color w:val="000000"/>
                <w:kern w:val="0"/>
                <w:sz w:val="24"/>
                <w:szCs w:val="24"/>
                <w:lang w:bidi="ar"/>
              </w:rPr>
            </w:pPr>
          </w:p>
        </w:tc>
        <w:tc>
          <w:tcPr>
            <w:tcW w:w="504" w:type="pct"/>
            <w:tcBorders>
              <w:top w:val="single" w:color="auto" w:sz="4" w:space="0"/>
              <w:left w:val="single" w:color="auto" w:sz="4" w:space="0"/>
              <w:right w:val="single" w:color="auto" w:sz="4" w:space="0"/>
            </w:tcBorders>
            <w:noWrap w:val="0"/>
            <w:vAlign w:val="center"/>
          </w:tcPr>
          <w:p w14:paraId="2A77B04E">
            <w:pPr>
              <w:widowControl/>
              <w:jc w:val="center"/>
              <w:textAlignment w:val="center"/>
              <w:rPr>
                <w:rFonts w:ascii="宋体" w:hAnsi="宋体" w:cs="宋体"/>
                <w:color w:val="000000"/>
                <w:kern w:val="0"/>
                <w:sz w:val="24"/>
                <w:szCs w:val="24"/>
                <w:lang w:bidi="ar"/>
              </w:rPr>
            </w:pPr>
          </w:p>
        </w:tc>
      </w:tr>
      <w:tr w14:paraId="07DA4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8"/>
            <w:tcBorders>
              <w:top w:val="single" w:color="auto" w:sz="4" w:space="0"/>
              <w:left w:val="single" w:color="auto" w:sz="4" w:space="0"/>
              <w:bottom w:val="single" w:color="auto" w:sz="4" w:space="0"/>
              <w:right w:val="single" w:color="auto" w:sz="4" w:space="0"/>
            </w:tcBorders>
            <w:noWrap w:val="0"/>
            <w:vAlign w:val="center"/>
          </w:tcPr>
          <w:p w14:paraId="00791B1C">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注：采购数量为暂定，据实结算。</w:t>
            </w:r>
          </w:p>
        </w:tc>
      </w:tr>
    </w:tbl>
    <w:p w14:paraId="70310A45">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1F8B6A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华佗中医药文化传承创新示范项目配套服务用房工程</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ALC轻质隔墙板采购（二次）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BZJKTL-2026-04号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247527827"/>
      <w:bookmarkStart w:id="242" w:name="_Toc152045787"/>
      <w:bookmarkStart w:id="243" w:name="_Toc144974856"/>
      <w:bookmarkStart w:id="244" w:name="_Toc152042576"/>
      <w:bookmarkStart w:id="245" w:name="_Toc247514246"/>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144974857"/>
      <w:bookmarkStart w:id="248" w:name="_Toc152045788"/>
      <w:bookmarkStart w:id="249" w:name="_Toc152042577"/>
      <w:bookmarkStart w:id="250" w:name="_Toc247527828"/>
      <w:bookmarkStart w:id="251" w:name="_Toc300835210"/>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2579"/>
      <w:bookmarkStart w:id="254" w:name="_Toc247514249"/>
      <w:bookmarkStart w:id="255" w:name="_Toc300835212"/>
      <w:bookmarkStart w:id="256" w:name="_Toc144974859"/>
      <w:bookmarkStart w:id="257" w:name="_Toc152045790"/>
      <w:bookmarkStart w:id="258" w:name="_Toc247527830"/>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color w:val="FF0000"/>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华佗中医药文化传承创新示范项目配套服务用房工程ALC轻质隔墙板采购（二次）</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r>
        <w:rPr>
          <w:rFonts w:hint="eastAsia" w:ascii="Times New Roman" w:hAnsi="Times New Roman" w:cs="Times New Roman"/>
          <w:color w:val="FF0000"/>
          <w:szCs w:val="21"/>
          <w:u w:val="single"/>
          <w:lang w:val="en-US" w:eastAsia="zh-CN"/>
        </w:rPr>
        <w:t>BZJKTL-2026-04号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0"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增值税税率</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0"/>
      <w:r>
        <w:rPr>
          <w:rFonts w:hint="eastAsia" w:ascii="Times New Roman" w:hAnsi="Times New Roman" w:cs="Times New Roman"/>
          <w:szCs w:val="21"/>
          <w:lang w:val="en-US" w:eastAsia="zh-CN"/>
        </w:rPr>
        <w:t>，供货期：</w:t>
      </w:r>
      <w:r>
        <w:rPr>
          <w:rFonts w:hint="eastAsia" w:ascii="Times New Roman" w:hAnsi="Times New Roman" w:cs="Times New Roman"/>
          <w:color w:val="FF0000"/>
          <w:szCs w:val="21"/>
          <w:lang w:val="en-US" w:eastAsia="zh-CN"/>
        </w:rPr>
        <w:t>自合同签订之日起120日历天；交货期：自采购人下达供货指令起10日内完成供货，按合同约定完成本项目全部工作。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152045791"/>
      <w:bookmarkStart w:id="260" w:name="_Toc152042580"/>
      <w:bookmarkStart w:id="261" w:name="_Toc247527831"/>
      <w:bookmarkStart w:id="262" w:name="_Toc247514283"/>
      <w:bookmarkStart w:id="263" w:name="_Toc300835213"/>
      <w:bookmarkStart w:id="264" w:name="_Toc144974860"/>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300835214"/>
      <w:bookmarkStart w:id="267" w:name="_Toc247514284"/>
      <w:bookmarkStart w:id="268" w:name="_Toc152045792"/>
      <w:bookmarkStart w:id="269" w:name="_Toc247527832"/>
      <w:bookmarkStart w:id="270"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247527834"/>
      <w:bookmarkStart w:id="273" w:name="_Toc300835216"/>
      <w:bookmarkStart w:id="274" w:name="_Toc152045794"/>
      <w:bookmarkStart w:id="275" w:name="_Toc152042583"/>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152042584"/>
      <w:bookmarkStart w:id="280" w:name="_Toc152045795"/>
      <w:bookmarkStart w:id="281" w:name="_Toc144974863"/>
      <w:bookmarkStart w:id="282" w:name="_Toc247514287"/>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1"/>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0"/>
              <w:spacing w:before="174" w:line="221" w:lineRule="auto"/>
              <w:ind w:left="344"/>
              <w:rPr>
                <w:sz w:val="21"/>
                <w:szCs w:val="21"/>
              </w:rPr>
            </w:pPr>
            <w:r>
              <w:rPr>
                <w:spacing w:val="6"/>
                <w:sz w:val="21"/>
                <w:szCs w:val="21"/>
              </w:rPr>
              <w:t>序号</w:t>
            </w:r>
          </w:p>
        </w:tc>
        <w:tc>
          <w:tcPr>
            <w:tcW w:w="3106" w:type="dxa"/>
            <w:vAlign w:val="top"/>
          </w:tcPr>
          <w:p w14:paraId="41B11741">
            <w:pPr>
              <w:pStyle w:val="30"/>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0"/>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0"/>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9" w:hRule="atLeast"/>
        </w:trPr>
        <w:tc>
          <w:tcPr>
            <w:tcW w:w="1124" w:type="dxa"/>
            <w:vAlign w:val="top"/>
          </w:tcPr>
          <w:p w14:paraId="71C86BA5">
            <w:pPr>
              <w:pStyle w:val="30"/>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0"/>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0"/>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0"/>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8" w:hRule="atLeast"/>
        </w:trPr>
        <w:tc>
          <w:tcPr>
            <w:tcW w:w="1124" w:type="dxa"/>
            <w:vAlign w:val="top"/>
          </w:tcPr>
          <w:p w14:paraId="02171320">
            <w:pPr>
              <w:pStyle w:val="30"/>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0"/>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2"/>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4"/>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bookmarkEnd w:id="278"/>
    <w:bookmarkEnd w:id="279"/>
    <w:bookmarkEnd w:id="280"/>
    <w:bookmarkEnd w:id="281"/>
    <w:bookmarkEnd w:id="282"/>
    <w:bookmarkEnd w:id="283"/>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515"/>
        <w:gridCol w:w="990"/>
        <w:gridCol w:w="936"/>
        <w:gridCol w:w="2062"/>
        <w:gridCol w:w="847"/>
        <w:gridCol w:w="847"/>
        <w:gridCol w:w="864"/>
      </w:tblGrid>
      <w:tr w14:paraId="6451A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2" w:hRule="atLeast"/>
          <w:jc w:val="center"/>
        </w:trPr>
        <w:tc>
          <w:tcPr>
            <w:tcW w:w="267" w:type="pct"/>
            <w:tcBorders>
              <w:top w:val="single" w:color="auto" w:sz="4" w:space="0"/>
              <w:left w:val="single" w:color="auto" w:sz="4" w:space="0"/>
              <w:right w:val="single" w:color="auto" w:sz="4" w:space="0"/>
            </w:tcBorders>
            <w:noWrap w:val="0"/>
            <w:vAlign w:val="center"/>
          </w:tcPr>
          <w:p w14:paraId="6E9FDB72">
            <w:pPr>
              <w:widowControl/>
              <w:jc w:val="center"/>
              <w:textAlignment w:val="center"/>
              <w:rPr>
                <w:rFonts w:ascii="黑体" w:hAnsi="宋体" w:eastAsia="黑体" w:cs="黑体"/>
                <w:color w:val="000000"/>
                <w:kern w:val="0"/>
                <w:sz w:val="24"/>
                <w:szCs w:val="24"/>
                <w:lang w:bidi="ar"/>
              </w:rPr>
            </w:pPr>
            <w:bookmarkStart w:id="284" w:name="_Toc247514288"/>
            <w:bookmarkStart w:id="285" w:name="_Toc152042585"/>
            <w:bookmarkStart w:id="286" w:name="_Toc152045796"/>
            <w:bookmarkStart w:id="287" w:name="_Toc247527836"/>
            <w:bookmarkStart w:id="288" w:name="_Toc144974864"/>
            <w:bookmarkStart w:id="289" w:name="_Toc300835221"/>
            <w:r>
              <w:rPr>
                <w:rFonts w:hint="eastAsia" w:ascii="宋体" w:hAnsi="宋体" w:cs="宋体"/>
                <w:color w:val="000000"/>
                <w:kern w:val="0"/>
                <w:sz w:val="24"/>
                <w:szCs w:val="24"/>
                <w:lang w:bidi="ar"/>
              </w:rPr>
              <w:t>序号</w:t>
            </w:r>
          </w:p>
        </w:tc>
        <w:tc>
          <w:tcPr>
            <w:tcW w:w="890" w:type="pct"/>
            <w:tcBorders>
              <w:top w:val="single" w:color="auto" w:sz="4" w:space="0"/>
              <w:left w:val="single" w:color="auto" w:sz="4" w:space="0"/>
              <w:right w:val="single" w:color="auto" w:sz="4" w:space="0"/>
            </w:tcBorders>
            <w:noWrap w:val="0"/>
            <w:vAlign w:val="center"/>
          </w:tcPr>
          <w:p w14:paraId="343B588E">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材料名称</w:t>
            </w:r>
          </w:p>
        </w:tc>
        <w:tc>
          <w:tcPr>
            <w:tcW w:w="582" w:type="pct"/>
            <w:tcBorders>
              <w:top w:val="single" w:color="auto" w:sz="4" w:space="0"/>
              <w:left w:val="single" w:color="auto" w:sz="4" w:space="0"/>
              <w:right w:val="single" w:color="auto" w:sz="4" w:space="0"/>
            </w:tcBorders>
            <w:noWrap w:val="0"/>
            <w:vAlign w:val="center"/>
          </w:tcPr>
          <w:p w14:paraId="7FD01C6C">
            <w:pPr>
              <w:widowControl/>
              <w:jc w:val="center"/>
              <w:textAlignment w:val="center"/>
              <w:rPr>
                <w:sz w:val="24"/>
                <w:szCs w:val="24"/>
              </w:rPr>
            </w:pPr>
            <w:r>
              <w:rPr>
                <w:rFonts w:hint="eastAsia" w:ascii="宋体" w:hAnsi="宋体" w:cs="宋体"/>
                <w:color w:val="000000"/>
                <w:kern w:val="0"/>
                <w:sz w:val="24"/>
                <w:szCs w:val="24"/>
                <w:lang w:bidi="ar"/>
              </w:rPr>
              <w:t>规格型号（mm）</w:t>
            </w:r>
          </w:p>
        </w:tc>
        <w:tc>
          <w:tcPr>
            <w:tcW w:w="549" w:type="pct"/>
            <w:tcBorders>
              <w:top w:val="single" w:color="auto" w:sz="4" w:space="0"/>
              <w:left w:val="single" w:color="auto" w:sz="4" w:space="0"/>
              <w:right w:val="single" w:color="auto" w:sz="4" w:space="0"/>
            </w:tcBorders>
            <w:noWrap w:val="0"/>
            <w:vAlign w:val="center"/>
          </w:tcPr>
          <w:p w14:paraId="54A858AF">
            <w:pPr>
              <w:widowControl/>
              <w:jc w:val="center"/>
              <w:textAlignment w:val="center"/>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数量</w:t>
            </w:r>
          </w:p>
          <w:p w14:paraId="4A1F19F6">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（m³）</w:t>
            </w:r>
          </w:p>
        </w:tc>
        <w:tc>
          <w:tcPr>
            <w:tcW w:w="1211" w:type="pct"/>
            <w:tcBorders>
              <w:top w:val="single" w:color="auto" w:sz="4" w:space="0"/>
              <w:left w:val="single" w:color="auto" w:sz="4" w:space="0"/>
              <w:right w:val="single" w:color="auto" w:sz="4" w:space="0"/>
            </w:tcBorders>
            <w:noWrap w:val="0"/>
            <w:vAlign w:val="center"/>
          </w:tcPr>
          <w:p w14:paraId="2A0C72F7">
            <w:pPr>
              <w:widowControl/>
              <w:ind w:firstLine="0" w:firstLineChars="0"/>
              <w:jc w:val="center"/>
              <w:textAlignment w:val="center"/>
              <w:rPr>
                <w:rFonts w:ascii="宋体" w:hAnsi="宋体" w:eastAsia="宋体" w:cs="宋体"/>
                <w:color w:val="000000"/>
                <w:sz w:val="24"/>
                <w:szCs w:val="24"/>
                <w:lang w:eastAsia="zh-CN" w:bidi="ar"/>
              </w:rPr>
            </w:pPr>
            <w:r>
              <w:rPr>
                <w:rFonts w:hint="eastAsia" w:ascii="宋体" w:hAnsi="宋体" w:eastAsia="宋体" w:cs="宋体"/>
                <w:color w:val="000000"/>
                <w:sz w:val="24"/>
                <w:szCs w:val="24"/>
                <w:lang w:eastAsia="zh-CN" w:bidi="ar"/>
              </w:rPr>
              <w:t>单价限价</w:t>
            </w:r>
          </w:p>
          <w:p w14:paraId="41B0C2E3">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（元/m³</w:t>
            </w:r>
            <w:r>
              <w:rPr>
                <w:rFonts w:hint="eastAsia" w:ascii="宋体" w:hAnsi="宋体" w:cs="宋体"/>
                <w:color w:val="000000"/>
                <w:kern w:val="0"/>
                <w:sz w:val="24"/>
                <w:szCs w:val="24"/>
                <w:lang w:eastAsia="zh-CN" w:bidi="ar"/>
              </w:rPr>
              <w:t>，</w:t>
            </w:r>
            <w:r>
              <w:rPr>
                <w:rFonts w:hint="eastAsia" w:ascii="宋体" w:hAnsi="宋体" w:cs="宋体"/>
                <w:color w:val="000000"/>
                <w:kern w:val="0"/>
                <w:sz w:val="24"/>
                <w:szCs w:val="24"/>
                <w:lang w:bidi="ar"/>
              </w:rPr>
              <w:t>13%）</w:t>
            </w:r>
          </w:p>
        </w:tc>
        <w:tc>
          <w:tcPr>
            <w:tcW w:w="497" w:type="pct"/>
            <w:tcBorders>
              <w:top w:val="single" w:color="auto" w:sz="4" w:space="0"/>
              <w:left w:val="single" w:color="auto" w:sz="4" w:space="0"/>
              <w:right w:val="single" w:color="auto" w:sz="4" w:space="0"/>
            </w:tcBorders>
            <w:noWrap w:val="0"/>
            <w:vAlign w:val="center"/>
          </w:tcPr>
          <w:p w14:paraId="3BE5447F">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单价报价</w:t>
            </w:r>
          </w:p>
        </w:tc>
        <w:tc>
          <w:tcPr>
            <w:tcW w:w="497" w:type="pct"/>
            <w:tcBorders>
              <w:top w:val="single" w:color="auto" w:sz="4" w:space="0"/>
              <w:left w:val="single" w:color="auto" w:sz="4" w:space="0"/>
              <w:right w:val="single" w:color="auto" w:sz="4" w:space="0"/>
            </w:tcBorders>
            <w:noWrap w:val="0"/>
            <w:vAlign w:val="center"/>
          </w:tcPr>
          <w:p w14:paraId="5B87CF08">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总价</w:t>
            </w:r>
          </w:p>
        </w:tc>
        <w:tc>
          <w:tcPr>
            <w:tcW w:w="504" w:type="pct"/>
            <w:tcBorders>
              <w:top w:val="single" w:color="auto" w:sz="4" w:space="0"/>
              <w:left w:val="single" w:color="auto" w:sz="4" w:space="0"/>
              <w:right w:val="single" w:color="auto" w:sz="4" w:space="0"/>
            </w:tcBorders>
            <w:noWrap w:val="0"/>
            <w:vAlign w:val="center"/>
          </w:tcPr>
          <w:p w14:paraId="01C5700C">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备注</w:t>
            </w:r>
          </w:p>
        </w:tc>
      </w:tr>
      <w:tr w14:paraId="2FA0D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267" w:type="pct"/>
            <w:tcBorders>
              <w:top w:val="single" w:color="auto" w:sz="4" w:space="0"/>
              <w:left w:val="single" w:color="auto" w:sz="4" w:space="0"/>
              <w:right w:val="single" w:color="auto" w:sz="4" w:space="0"/>
            </w:tcBorders>
            <w:noWrap w:val="0"/>
            <w:vAlign w:val="center"/>
          </w:tcPr>
          <w:p w14:paraId="32D99FB3">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w:t>
            </w:r>
          </w:p>
        </w:tc>
        <w:tc>
          <w:tcPr>
            <w:tcW w:w="890" w:type="pct"/>
            <w:tcBorders>
              <w:top w:val="single" w:color="auto" w:sz="4" w:space="0"/>
              <w:left w:val="single" w:color="auto" w:sz="4" w:space="0"/>
              <w:right w:val="single" w:color="auto" w:sz="4" w:space="0"/>
            </w:tcBorders>
            <w:noWrap w:val="0"/>
            <w:vAlign w:val="center"/>
          </w:tcPr>
          <w:p w14:paraId="0981466A">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ALC轻质隔墙板</w:t>
            </w:r>
          </w:p>
        </w:tc>
        <w:tc>
          <w:tcPr>
            <w:tcW w:w="582" w:type="pct"/>
            <w:tcBorders>
              <w:top w:val="single" w:color="auto" w:sz="4" w:space="0"/>
              <w:left w:val="single" w:color="auto" w:sz="4" w:space="0"/>
              <w:right w:val="single" w:color="auto" w:sz="4" w:space="0"/>
            </w:tcBorders>
            <w:noWrap w:val="0"/>
            <w:vAlign w:val="center"/>
          </w:tcPr>
          <w:p w14:paraId="617117DB">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200</w:t>
            </w:r>
          </w:p>
        </w:tc>
        <w:tc>
          <w:tcPr>
            <w:tcW w:w="549" w:type="pct"/>
            <w:tcBorders>
              <w:top w:val="single" w:color="auto" w:sz="4" w:space="0"/>
              <w:left w:val="single" w:color="auto" w:sz="4" w:space="0"/>
              <w:right w:val="single" w:color="auto" w:sz="4" w:space="0"/>
            </w:tcBorders>
            <w:noWrap w:val="0"/>
            <w:vAlign w:val="center"/>
          </w:tcPr>
          <w:p w14:paraId="552074D8">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1400</w:t>
            </w:r>
          </w:p>
        </w:tc>
        <w:tc>
          <w:tcPr>
            <w:tcW w:w="1211" w:type="pct"/>
            <w:tcBorders>
              <w:top w:val="single" w:color="auto" w:sz="4" w:space="0"/>
              <w:left w:val="single" w:color="auto" w:sz="4" w:space="0"/>
              <w:right w:val="single" w:color="auto" w:sz="4" w:space="0"/>
            </w:tcBorders>
            <w:noWrap w:val="0"/>
            <w:vAlign w:val="center"/>
          </w:tcPr>
          <w:p w14:paraId="7BF61BBF">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340</w:t>
            </w:r>
          </w:p>
        </w:tc>
        <w:tc>
          <w:tcPr>
            <w:tcW w:w="497" w:type="pct"/>
            <w:tcBorders>
              <w:top w:val="single" w:color="auto" w:sz="4" w:space="0"/>
              <w:left w:val="single" w:color="auto" w:sz="4" w:space="0"/>
              <w:right w:val="single" w:color="auto" w:sz="4" w:space="0"/>
            </w:tcBorders>
            <w:noWrap w:val="0"/>
            <w:vAlign w:val="center"/>
          </w:tcPr>
          <w:p w14:paraId="4187519B">
            <w:pPr>
              <w:widowControl/>
              <w:jc w:val="center"/>
              <w:textAlignment w:val="center"/>
              <w:rPr>
                <w:rFonts w:ascii="宋体" w:hAnsi="宋体" w:cs="宋体"/>
                <w:color w:val="000000"/>
                <w:kern w:val="0"/>
                <w:sz w:val="24"/>
                <w:szCs w:val="24"/>
                <w:lang w:bidi="ar"/>
              </w:rPr>
            </w:pPr>
          </w:p>
        </w:tc>
        <w:tc>
          <w:tcPr>
            <w:tcW w:w="497" w:type="pct"/>
            <w:tcBorders>
              <w:top w:val="single" w:color="auto" w:sz="4" w:space="0"/>
              <w:left w:val="single" w:color="auto" w:sz="4" w:space="0"/>
              <w:right w:val="single" w:color="auto" w:sz="4" w:space="0"/>
            </w:tcBorders>
            <w:noWrap w:val="0"/>
            <w:vAlign w:val="center"/>
          </w:tcPr>
          <w:p w14:paraId="32906772">
            <w:pPr>
              <w:widowControl/>
              <w:jc w:val="center"/>
              <w:textAlignment w:val="center"/>
              <w:rPr>
                <w:rFonts w:ascii="宋体" w:hAnsi="宋体" w:cs="宋体"/>
                <w:color w:val="000000"/>
                <w:kern w:val="0"/>
                <w:sz w:val="24"/>
                <w:szCs w:val="24"/>
                <w:lang w:bidi="ar"/>
              </w:rPr>
            </w:pPr>
          </w:p>
        </w:tc>
        <w:tc>
          <w:tcPr>
            <w:tcW w:w="504" w:type="pct"/>
            <w:tcBorders>
              <w:top w:val="single" w:color="auto" w:sz="4" w:space="0"/>
              <w:left w:val="single" w:color="auto" w:sz="4" w:space="0"/>
              <w:right w:val="single" w:color="auto" w:sz="4" w:space="0"/>
            </w:tcBorders>
            <w:noWrap w:val="0"/>
            <w:vAlign w:val="center"/>
          </w:tcPr>
          <w:p w14:paraId="31F08261">
            <w:pPr>
              <w:widowControl/>
              <w:jc w:val="center"/>
              <w:textAlignment w:val="center"/>
              <w:rPr>
                <w:rFonts w:ascii="宋体" w:hAnsi="宋体" w:cs="宋体"/>
                <w:color w:val="000000"/>
                <w:kern w:val="0"/>
                <w:sz w:val="24"/>
                <w:szCs w:val="24"/>
                <w:lang w:bidi="ar"/>
              </w:rPr>
            </w:pPr>
          </w:p>
        </w:tc>
      </w:tr>
      <w:tr w14:paraId="478DD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8"/>
            <w:tcBorders>
              <w:top w:val="single" w:color="auto" w:sz="4" w:space="0"/>
              <w:left w:val="single" w:color="auto" w:sz="4" w:space="0"/>
              <w:bottom w:val="single" w:color="auto" w:sz="4" w:space="0"/>
              <w:right w:val="single" w:color="auto" w:sz="4" w:space="0"/>
            </w:tcBorders>
            <w:noWrap w:val="0"/>
            <w:vAlign w:val="center"/>
          </w:tcPr>
          <w:p w14:paraId="7436D8E9">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注：采购数量为暂定，据实结算。</w:t>
            </w:r>
          </w:p>
        </w:tc>
      </w:tr>
    </w:tbl>
    <w:p w14:paraId="6BCBA394">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577D3DDA">
      <w:pPr>
        <w:pStyle w:val="4"/>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96602618"/>
      <w:bookmarkStart w:id="293" w:name="_Toc246996373"/>
      <w:bookmarkStart w:id="294" w:name="_Toc247085891"/>
      <w:bookmarkStart w:id="295" w:name="_Toc179632828"/>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46997113"/>
      <w:bookmarkStart w:id="297" w:name="_Toc247085888"/>
      <w:bookmarkStart w:id="298" w:name="_Toc296602615"/>
      <w:bookmarkStart w:id="299" w:name="_Toc246996370"/>
      <w:bookmarkStart w:id="300" w:name="_Toc247514302"/>
      <w:bookmarkStart w:id="301" w:name="_Toc144974878"/>
      <w:bookmarkStart w:id="302" w:name="_Toc152042599"/>
      <w:bookmarkStart w:id="303" w:name="_Toc300835226"/>
      <w:bookmarkStart w:id="304" w:name="_Toc247527850"/>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46996371"/>
      <w:bookmarkStart w:id="307" w:name="_Toc246997114"/>
      <w:bookmarkStart w:id="308" w:name="_Toc296602616"/>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152045811"/>
      <w:bookmarkStart w:id="312" w:name="_Toc152042600"/>
      <w:bookmarkStart w:id="313" w:name="_Toc144974879"/>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271821942"/>
      <w:bookmarkStart w:id="316" w:name="_Toc300835233"/>
    </w:p>
    <w:p w14:paraId="665E012F">
      <w:pPr>
        <w:pStyle w:val="5"/>
        <w:numPr>
          <w:ilvl w:val="0"/>
          <w:numId w:val="0"/>
        </w:numPr>
        <w:jc w:val="center"/>
        <w:rPr>
          <w:rFonts w:hint="eastAsia" w:ascii="Times New Roman" w:hAnsi="Times New Roman" w:cs="Times New Roman"/>
          <w:lang w:val="en-US" w:eastAsia="zh-CN"/>
        </w:rPr>
      </w:pPr>
    </w:p>
    <w:p w14:paraId="1E5B7EEB">
      <w:pPr>
        <w:pStyle w:val="5"/>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FA2D54D-8F38-4190-A7DD-440694FA64C7}"/>
  </w:font>
  <w:font w:name="Arial">
    <w:panose1 w:val="020B0604020202020204"/>
    <w:charset w:val="01"/>
    <w:family w:val="swiss"/>
    <w:pitch w:val="default"/>
    <w:sig w:usb0="E0002EFF" w:usb1="C000785B" w:usb2="00000009" w:usb3="00000000" w:csb0="400001FF" w:csb1="FFFF0000"/>
    <w:embedRegular r:id="rId2" w:fontKey="{7FD9E166-DBEF-4C31-9C62-E63656F8F153}"/>
  </w:font>
  <w:font w:name="黑体">
    <w:panose1 w:val="02010609060101010101"/>
    <w:charset w:val="86"/>
    <w:family w:val="auto"/>
    <w:pitch w:val="default"/>
    <w:sig w:usb0="800002BF" w:usb1="38CF7CFA" w:usb2="00000016" w:usb3="00000000" w:csb0="00040001" w:csb1="00000000"/>
    <w:embedRegular r:id="rId3" w:fontKey="{D9D17899-F5D8-472F-AF78-3592E378A7B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3A6A9AA3-C229-4C6B-ADD3-F4A1D7980962}"/>
  </w:font>
  <w:font w:name="仿宋_GB2312">
    <w:panose1 w:val="02010609030101010101"/>
    <w:charset w:val="86"/>
    <w:family w:val="modern"/>
    <w:pitch w:val="default"/>
    <w:sig w:usb0="00000001" w:usb1="080E0000" w:usb2="00000000" w:usb3="00000000" w:csb0="00040000" w:csb1="00000000"/>
    <w:embedRegular r:id="rId5" w:fontKey="{23CF6884-A85A-4C55-8616-1B195F400026}"/>
  </w:font>
  <w:font w:name="方正小标宋简体">
    <w:panose1 w:val="03000509000000000000"/>
    <w:charset w:val="86"/>
    <w:family w:val="auto"/>
    <w:pitch w:val="default"/>
    <w:sig w:usb0="00000001" w:usb1="080E0000" w:usb2="00000000" w:usb3="00000000" w:csb0="00040000" w:csb1="00000000"/>
    <w:embedRegular r:id="rId6" w:fontKey="{360E877A-9F2D-4F73-80CA-06D6F82B382E}"/>
  </w:font>
  <w:font w:name="楷体">
    <w:panose1 w:val="02010609060101010101"/>
    <w:charset w:val="86"/>
    <w:family w:val="auto"/>
    <w:pitch w:val="default"/>
    <w:sig w:usb0="800002BF" w:usb1="38CF7CFA" w:usb2="00000016" w:usb3="00000000" w:csb0="00040001" w:csb1="00000000"/>
    <w:embedRegular r:id="rId7" w:fontKey="{8C25C758-BBD0-41C9-9B9A-8A82D2BB93C1}"/>
  </w:font>
  <w:font w:name="Wingdings 2">
    <w:panose1 w:val="05020102010507070707"/>
    <w:charset w:val="00"/>
    <w:family w:val="auto"/>
    <w:pitch w:val="default"/>
    <w:sig w:usb0="00000000" w:usb1="00000000" w:usb2="00000000" w:usb3="00000000" w:csb0="80000000" w:csb1="00000000"/>
    <w:embedRegular r:id="rId8" w:fontKey="{16936455-02C5-4DDD-BB66-C616E5AE84F4}"/>
  </w:font>
  <w:font w:name="方正仿宋_GB2312">
    <w:panose1 w:val="02000000000000000000"/>
    <w:charset w:val="86"/>
    <w:family w:val="auto"/>
    <w:pitch w:val="default"/>
    <w:sig w:usb0="A00002BF" w:usb1="184F6CFA" w:usb2="00000012" w:usb3="00000000" w:csb0="00040001" w:csb1="00000000"/>
    <w:embedRegular r:id="rId9" w:fontKey="{405AD871-8509-456E-9DF6-B0B16419194B}"/>
  </w:font>
  <w:font w:name="仿宋">
    <w:panose1 w:val="02010609060101010101"/>
    <w:charset w:val="86"/>
    <w:family w:val="modern"/>
    <w:pitch w:val="default"/>
    <w:sig w:usb0="800002BF" w:usb1="38CF7CFA" w:usb2="00000016" w:usb3="00000000" w:csb0="00040001" w:csb1="00000000"/>
    <w:embedRegular r:id="rId10" w:fontKey="{9622ECF8-189F-4A51-B2D4-03A10E921E2B}"/>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6D0432"/>
    <w:rsid w:val="01771825"/>
    <w:rsid w:val="018C519F"/>
    <w:rsid w:val="019846E3"/>
    <w:rsid w:val="01AA1AC9"/>
    <w:rsid w:val="01B6046E"/>
    <w:rsid w:val="01B666C0"/>
    <w:rsid w:val="01CB0CDF"/>
    <w:rsid w:val="01CD2334"/>
    <w:rsid w:val="01E140D3"/>
    <w:rsid w:val="01EE4D0C"/>
    <w:rsid w:val="01F16263"/>
    <w:rsid w:val="02016132"/>
    <w:rsid w:val="02054F5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121F0"/>
    <w:rsid w:val="04FF2195"/>
    <w:rsid w:val="050252F6"/>
    <w:rsid w:val="05045FA7"/>
    <w:rsid w:val="05121531"/>
    <w:rsid w:val="0541752E"/>
    <w:rsid w:val="054C24DB"/>
    <w:rsid w:val="055625ED"/>
    <w:rsid w:val="05625696"/>
    <w:rsid w:val="0572490A"/>
    <w:rsid w:val="057E3D65"/>
    <w:rsid w:val="058253F2"/>
    <w:rsid w:val="05872EB9"/>
    <w:rsid w:val="058A48E0"/>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A32ADE"/>
    <w:rsid w:val="08B056B6"/>
    <w:rsid w:val="08BE35C2"/>
    <w:rsid w:val="08C616D3"/>
    <w:rsid w:val="08E13E13"/>
    <w:rsid w:val="08E92ED7"/>
    <w:rsid w:val="08ED571D"/>
    <w:rsid w:val="08F33D56"/>
    <w:rsid w:val="08F53A28"/>
    <w:rsid w:val="09013E16"/>
    <w:rsid w:val="090E719A"/>
    <w:rsid w:val="09153CCC"/>
    <w:rsid w:val="0922447E"/>
    <w:rsid w:val="0926237D"/>
    <w:rsid w:val="092D0C4C"/>
    <w:rsid w:val="092E75A1"/>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30D22"/>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793835"/>
    <w:rsid w:val="158374C1"/>
    <w:rsid w:val="15A62ECC"/>
    <w:rsid w:val="15B14179"/>
    <w:rsid w:val="15C516BD"/>
    <w:rsid w:val="15CC3B64"/>
    <w:rsid w:val="15CF6FE1"/>
    <w:rsid w:val="15D469C1"/>
    <w:rsid w:val="160055BA"/>
    <w:rsid w:val="160475A2"/>
    <w:rsid w:val="16084539"/>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8506FA"/>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744D56"/>
    <w:rsid w:val="1CB07DF9"/>
    <w:rsid w:val="1CB612AF"/>
    <w:rsid w:val="1CC3681B"/>
    <w:rsid w:val="1CF06AD2"/>
    <w:rsid w:val="1CF251D3"/>
    <w:rsid w:val="1CF87735"/>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86082"/>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17B2B"/>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66939"/>
    <w:rsid w:val="28D41056"/>
    <w:rsid w:val="28DA521F"/>
    <w:rsid w:val="28FA546B"/>
    <w:rsid w:val="28FE025E"/>
    <w:rsid w:val="290165BA"/>
    <w:rsid w:val="290F02E0"/>
    <w:rsid w:val="29245F1A"/>
    <w:rsid w:val="29366359"/>
    <w:rsid w:val="293D4E4D"/>
    <w:rsid w:val="294066EC"/>
    <w:rsid w:val="29586D7A"/>
    <w:rsid w:val="29772B51"/>
    <w:rsid w:val="29791894"/>
    <w:rsid w:val="297D349C"/>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6E6078"/>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525D6"/>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FE5C7B"/>
    <w:rsid w:val="390414E4"/>
    <w:rsid w:val="3914608F"/>
    <w:rsid w:val="39296809"/>
    <w:rsid w:val="392E6561"/>
    <w:rsid w:val="393B38EF"/>
    <w:rsid w:val="393E0C7A"/>
    <w:rsid w:val="39470BCD"/>
    <w:rsid w:val="39663F4D"/>
    <w:rsid w:val="397B716D"/>
    <w:rsid w:val="3980085B"/>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51916"/>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59714C"/>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90553"/>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2D95"/>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9E14E9"/>
    <w:rsid w:val="4BAC653B"/>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CC5268"/>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E45D42"/>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84446"/>
    <w:rsid w:val="564C7BCE"/>
    <w:rsid w:val="56537C47"/>
    <w:rsid w:val="565E627F"/>
    <w:rsid w:val="56625644"/>
    <w:rsid w:val="56A010C0"/>
    <w:rsid w:val="56B96B8E"/>
    <w:rsid w:val="56C747B5"/>
    <w:rsid w:val="56CC3A96"/>
    <w:rsid w:val="56D42684"/>
    <w:rsid w:val="56DD2471"/>
    <w:rsid w:val="56E01510"/>
    <w:rsid w:val="571974A0"/>
    <w:rsid w:val="57210A6D"/>
    <w:rsid w:val="57227A9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C3C72"/>
    <w:rsid w:val="5DFD2403"/>
    <w:rsid w:val="5DFF05CD"/>
    <w:rsid w:val="5E1672C2"/>
    <w:rsid w:val="5E1B6033"/>
    <w:rsid w:val="5E1E5EED"/>
    <w:rsid w:val="5E2612F9"/>
    <w:rsid w:val="5E287173"/>
    <w:rsid w:val="5E2C27BF"/>
    <w:rsid w:val="5E3372EA"/>
    <w:rsid w:val="5E3D7026"/>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1F96405"/>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4FF1EB7"/>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917B37"/>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5F532B"/>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2530"/>
    <w:rsid w:val="6D463172"/>
    <w:rsid w:val="6D592B40"/>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56C72"/>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85200"/>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936D4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paragraph" w:styleId="16">
    <w:name w:val="Body Text First Indent 2"/>
    <w:basedOn w:val="8"/>
    <w:qFormat/>
    <w:uiPriority w:val="0"/>
    <w:pPr>
      <w:ind w:firstLine="420"/>
    </w:pPr>
    <w:rPr>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13194</Words>
  <Characters>14144</Characters>
  <Lines>0</Lines>
  <Paragraphs>0</Paragraphs>
  <TotalTime>20</TotalTime>
  <ScaleCrop>false</ScaleCrop>
  <LinksUpToDate>false</LinksUpToDate>
  <CharactersWithSpaces>14291</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2026-04-29T00:17:00Z</cp:lastPrinted>
  <dcterms:modified xsi:type="dcterms:W3CDTF">2026-04-30T06:50:31Z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3DC1C1C5EC6741F69426F536341F9981</vt:lpwstr>
  </property>
  <property fmtid="{D5CDD505-2E9C-101B-9397-08002B2CF9AE}" pid="4" name="KSOTemplateDocerSaveRecord">
    <vt:lpwstr>eyJoZGlkIjoiNGQwNDEwOTliYTQ0MjFkY2Q2Yjg0MDk3OTcwOGQ5NTMiLCJ1c2VySWQiOiI1NTMyMjQzNDEifQ==</vt:lpwstr>
  </property>
</Properties>
</file>