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00FDB">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3333412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lang w:val="en-US" w:eastAsia="zh-CN"/>
        </w:rPr>
        <w:t>亳州逸合府一期施工总承包项目标识标线工程专业分包</w:t>
      </w:r>
    </w:p>
    <w:p w14:paraId="3DB1574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1F0D693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auto"/>
          <w:kern w:val="0"/>
          <w:sz w:val="84"/>
          <w:szCs w:val="84"/>
          <w:highlight w:val="none"/>
          <w:lang w:val="en-US" w:eastAsia="zh-CN"/>
          <w14:textFill>
            <w14:noFill/>
          </w14:textFill>
        </w:rPr>
      </w:pPr>
      <w:r>
        <w:rPr>
          <w:rFonts w:hint="eastAsia" w:ascii="Times New Roman" w:hAnsi="Times New Roman" w:eastAsia="方正小标宋简体" w:cs="Times New Roman"/>
          <w:kern w:val="0"/>
          <w:sz w:val="84"/>
          <w:szCs w:val="84"/>
          <w:highlight w:val="none"/>
          <w:lang w:val="en-US" w:eastAsia="zh-CN"/>
        </w:rPr>
        <w:t>询</w:t>
      </w:r>
    </w:p>
    <w:p w14:paraId="1E05B0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比</w:t>
      </w:r>
    </w:p>
    <w:p w14:paraId="0BA1089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2817626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2878367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8AC649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6606E4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AHTKJS-2026-021号</w:t>
      </w:r>
    </w:p>
    <w:p w14:paraId="52C1F517">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2D73BE66">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采购人</w:t>
      </w:r>
      <w:r>
        <w:rPr>
          <w:rFonts w:hint="default" w:ascii="Times New Roman" w:hAnsi="Times New Roman" w:eastAsia="楷体" w:cs="Times New Roman"/>
          <w:kern w:val="0"/>
          <w:sz w:val="32"/>
          <w:szCs w:val="32"/>
          <w:highlight w:val="none"/>
          <w:shd w:val="clear" w:color="auto" w:fill="auto"/>
          <w:lang w:val="en-US" w:eastAsia="zh-CN"/>
        </w:rPr>
        <w:t>：</w:t>
      </w:r>
      <w:permStart w:id="0" w:edGrp="everyone"/>
      <w:r>
        <w:rPr>
          <w:rFonts w:hint="default" w:ascii="Times New Roman" w:hAnsi="Times New Roman" w:eastAsia="楷体" w:cs="Times New Roman"/>
          <w:kern w:val="0"/>
          <w:sz w:val="32"/>
          <w:szCs w:val="32"/>
          <w:highlight w:val="none"/>
          <w:shd w:val="clear" w:color="auto" w:fill="auto"/>
          <w:lang w:val="en-US" w:eastAsia="zh-CN"/>
        </w:rPr>
        <w:t>安徽通康建设工程有限公司</w:t>
      </w:r>
      <w:r>
        <w:rPr>
          <w:rFonts w:hint="eastAsia" w:ascii="Times New Roman" w:hAnsi="Times New Roman" w:eastAsia="楷体" w:cs="Times New Roman"/>
          <w:kern w:val="0"/>
          <w:sz w:val="32"/>
          <w:szCs w:val="32"/>
          <w:highlight w:val="none"/>
          <w:shd w:val="clear" w:color="auto" w:fill="auto"/>
          <w:lang w:val="en-US" w:eastAsia="zh-CN"/>
        </w:rPr>
        <w:t xml:space="preserve"> </w:t>
      </w:r>
      <w:permEnd w:id="0"/>
    </w:p>
    <w:p w14:paraId="615C4D7A">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shd w:val="clear" w:color="auto" w:fill="auto"/>
          <w:lang w:val="en-US" w:eastAsia="zh-CN"/>
        </w:rPr>
        <w:t>编制日期：</w:t>
      </w:r>
      <w:permStart w:id="1" w:edGrp="everyone"/>
      <w:r>
        <w:rPr>
          <w:rFonts w:hint="eastAsia" w:ascii="Times New Roman" w:hAnsi="Times New Roman" w:eastAsia="楷体" w:cs="Times New Roman"/>
          <w:kern w:val="0"/>
          <w:sz w:val="32"/>
          <w:szCs w:val="32"/>
          <w:highlight w:val="none"/>
          <w:shd w:val="clear" w:color="auto" w:fill="auto"/>
          <w:lang w:val="en-US" w:eastAsia="zh-CN"/>
        </w:rPr>
        <w:t>2026年5</w:t>
      </w:r>
      <w:r>
        <w:rPr>
          <w:rFonts w:hint="eastAsia" w:ascii="Times New Roman" w:hAnsi="Times New Roman" w:eastAsia="楷体" w:cs="Times New Roman"/>
          <w:kern w:val="0"/>
          <w:sz w:val="32"/>
          <w:szCs w:val="32"/>
          <w:highlight w:val="none"/>
          <w:u w:val="none"/>
          <w:shd w:val="clear" w:color="auto" w:fill="auto"/>
          <w:lang w:val="en-US" w:eastAsia="zh-CN"/>
        </w:rPr>
        <w:t>月6日</w:t>
      </w:r>
      <w:permEnd w:id="1"/>
    </w:p>
    <w:p w14:paraId="4AD103FD">
      <w:pPr>
        <w:keepNext w:val="0"/>
        <w:keepLines w:val="0"/>
        <w:pageBreakBefore w:val="0"/>
        <w:widowControl w:val="0"/>
        <w:kinsoku/>
        <w:wordWrap w:val="0"/>
        <w:overflowPunct/>
        <w:topLinePunct w:val="0"/>
        <w:autoSpaceDE/>
        <w:autoSpaceDN/>
        <w:bidi w:val="0"/>
        <w:adjustRightInd/>
        <w:snapToGrid/>
        <w:spacing w:line="240" w:lineRule="auto"/>
        <w:ind w:firstLine="1280" w:firstLineChars="400"/>
        <w:jc w:val="left"/>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32"/>
          <w:szCs w:val="32"/>
          <w:highlight w:val="none"/>
          <w:lang w:val="en-US" w:eastAsia="zh-CN"/>
        </w:rPr>
        <w:br w:type="page"/>
      </w:r>
    </w:p>
    <w:p w14:paraId="3D1266B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目录</w:t>
      </w:r>
    </w:p>
    <w:p w14:paraId="2B2CCC9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8726EC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ermStart w:id="2" w:edGrp="everyone"/>
      <w:r>
        <w:rPr>
          <w:rFonts w:hint="default" w:ascii="Times New Roman" w:hAnsi="Times New Roman" w:eastAsia="黑体" w:cs="Times New Roman"/>
          <w:kern w:val="0"/>
          <w:sz w:val="32"/>
          <w:szCs w:val="32"/>
          <w:highlight w:val="none"/>
          <w:lang w:val="en-US" w:eastAsia="zh-CN"/>
        </w:rPr>
        <w:t xml:space="preserve">第一章 </w:t>
      </w:r>
      <w:r>
        <w:rPr>
          <w:rFonts w:hint="eastAsia" w:ascii="Times New Roman" w:hAnsi="Times New Roman" w:eastAsia="黑体" w:cs="Times New Roman"/>
          <w:kern w:val="0"/>
          <w:sz w:val="32"/>
          <w:szCs w:val="32"/>
          <w:highlight w:val="none"/>
          <w:lang w:val="en-US" w:eastAsia="zh-CN"/>
        </w:rPr>
        <w:t>询比公告..........</w:t>
      </w:r>
      <w:r>
        <w:rPr>
          <w:rFonts w:hint="default" w:ascii="Times New Roman" w:hAnsi="Times New Roman" w:eastAsia="黑体" w:cs="Times New Roman"/>
          <w:kern w:val="0"/>
          <w:sz w:val="32"/>
          <w:szCs w:val="32"/>
          <w:highlight w:val="none"/>
          <w:lang w:val="en-US" w:eastAsia="zh-CN"/>
        </w:rPr>
        <w:t xml:space="preserve">............................................................1第二章 </w:t>
      </w:r>
      <w:r>
        <w:rPr>
          <w:rFonts w:hint="eastAsia" w:ascii="Times New Roman" w:hAnsi="Times New Roman" w:eastAsia="黑体" w:cs="Times New Roman"/>
          <w:kern w:val="0"/>
          <w:sz w:val="32"/>
          <w:szCs w:val="32"/>
          <w:highlight w:val="none"/>
          <w:lang w:val="en-US" w:eastAsia="zh-CN"/>
        </w:rPr>
        <w:t>供应商</w:t>
      </w:r>
      <w:r>
        <w:rPr>
          <w:rFonts w:hint="default" w:ascii="Times New Roman" w:hAnsi="Times New Roman" w:eastAsia="黑体" w:cs="Times New Roman"/>
          <w:kern w:val="0"/>
          <w:sz w:val="32"/>
          <w:szCs w:val="32"/>
          <w:highlight w:val="none"/>
          <w:lang w:val="en-US" w:eastAsia="zh-CN"/>
        </w:rPr>
        <w:t>须知...................................................................</w:t>
      </w:r>
      <w:r>
        <w:rPr>
          <w:rFonts w:hint="eastAsia" w:ascii="Times New Roman" w:hAnsi="Times New Roman" w:eastAsia="黑体" w:cs="Times New Roman"/>
          <w:kern w:val="0"/>
          <w:sz w:val="32"/>
          <w:szCs w:val="32"/>
          <w:highlight w:val="none"/>
          <w:lang w:val="en-US" w:eastAsia="zh-CN"/>
        </w:rPr>
        <w:t>4</w:t>
      </w:r>
    </w:p>
    <w:p w14:paraId="41FD80A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 xml:space="preserve">第三章 </w:t>
      </w:r>
      <w:r>
        <w:rPr>
          <w:rFonts w:hint="eastAsia" w:ascii="Times New Roman" w:hAnsi="Times New Roman" w:eastAsia="黑体" w:cs="Times New Roman"/>
          <w:kern w:val="0"/>
          <w:sz w:val="32"/>
          <w:szCs w:val="32"/>
          <w:highlight w:val="none"/>
          <w:lang w:val="en-US" w:eastAsia="zh-CN"/>
        </w:rPr>
        <w:t>评审</w:t>
      </w:r>
      <w:r>
        <w:rPr>
          <w:rFonts w:hint="default" w:ascii="Times New Roman" w:hAnsi="Times New Roman" w:eastAsia="黑体" w:cs="Times New Roman"/>
          <w:kern w:val="0"/>
          <w:sz w:val="32"/>
          <w:szCs w:val="32"/>
          <w:highlight w:val="none"/>
          <w:lang w:val="en-US" w:eastAsia="zh-CN"/>
        </w:rPr>
        <w:t>办法.................................................................</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16</w:t>
      </w:r>
    </w:p>
    <w:p w14:paraId="2010A81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第四章 合同条款及格式......................................</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22</w:t>
      </w:r>
    </w:p>
    <w:p w14:paraId="60884F2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五</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采购需求</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23</w:t>
      </w:r>
    </w:p>
    <w:p w14:paraId="7E679AE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六</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响应文件格式</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24</w:t>
      </w:r>
    </w:p>
    <w:permEnd w:id="2"/>
    <w:p w14:paraId="3C2B366F">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黑体" w:cs="Times New Roman"/>
          <w:kern w:val="0"/>
          <w:sz w:val="32"/>
          <w:szCs w:val="32"/>
          <w:highlight w:val="none"/>
          <w:lang w:val="en-US" w:eastAsia="zh-CN"/>
        </w:rPr>
      </w:pPr>
    </w:p>
    <w:p w14:paraId="7F8DA7D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78B090A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3B8EE8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BBD0A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5026780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0E9AF24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10A0BDB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8361D4">
      <w:pPr>
        <w:keepNext w:val="0"/>
        <w:keepLines w:val="0"/>
        <w:pageBreakBefore w:val="0"/>
        <w:widowControl w:val="0"/>
        <w:kinsoku/>
        <w:wordWrap w:val="0"/>
        <w:overflowPunct/>
        <w:topLinePunct w:val="0"/>
        <w:autoSpaceDE/>
        <w:autoSpaceDN/>
        <w:bidi w:val="0"/>
        <w:adjustRightInd/>
        <w:snapToGrid/>
        <w:spacing w:line="520" w:lineRule="exact"/>
        <w:ind w:firstLine="1280" w:firstLineChars="400"/>
        <w:jc w:val="left"/>
        <w:textAlignment w:val="auto"/>
        <w:outlineLvl w:val="9"/>
        <w:rPr>
          <w:rFonts w:hint="default" w:ascii="Times New Roman" w:hAnsi="Times New Roman" w:eastAsia="仿宋_GB2312" w:cs="Times New Roman"/>
          <w:kern w:val="0"/>
          <w:sz w:val="32"/>
          <w:szCs w:val="32"/>
          <w:highlight w:val="none"/>
          <w:lang w:val="en-US" w:eastAsia="zh-CN"/>
        </w:rPr>
      </w:pPr>
    </w:p>
    <w:p w14:paraId="124AE412">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kern w:val="0"/>
          <w:sz w:val="32"/>
          <w:szCs w:val="32"/>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7D7B8261">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第一章 询比公告</w:t>
      </w:r>
    </w:p>
    <w:p w14:paraId="29346F1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p>
    <w:p w14:paraId="6D3A3FC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u w:val="single"/>
          <w:lang w:val="en-US" w:eastAsia="zh-CN"/>
        </w:rPr>
        <w:t>亳州逸合府一期施工总承包项目标识标线工程专业分包</w:t>
      </w:r>
      <w:r>
        <w:rPr>
          <w:rFonts w:hint="eastAsia" w:asciiTheme="minorEastAsia" w:hAnsiTheme="minorEastAsia" w:eastAsiaTheme="minorEastAsia" w:cstheme="minorEastAsia"/>
          <w:sz w:val="28"/>
          <w:szCs w:val="28"/>
          <w:highlight w:val="none"/>
          <w:lang w:val="en-US" w:eastAsia="zh-CN"/>
        </w:rPr>
        <w:t>已具备采购条件，现对该项目进行公开询比。</w:t>
      </w:r>
    </w:p>
    <w:p w14:paraId="3EC2A6B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一、采购项目简介</w:t>
      </w:r>
      <w:r>
        <w:rPr>
          <w:rFonts w:hint="default" w:ascii="Times New Roman" w:hAnsi="Times New Roman" w:eastAsia="仿宋_GB2312" w:cs="Times New Roman"/>
          <w:sz w:val="28"/>
          <w:szCs w:val="28"/>
          <w:highlight w:val="none"/>
          <w:lang w:val="en-US" w:eastAsia="zh-CN"/>
        </w:rPr>
        <w:tab/>
      </w:r>
    </w:p>
    <w:p w14:paraId="12ECEDE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val="en-US" w:eastAsia="zh-CN"/>
        </w:rPr>
        <w:t>项目名称：</w:t>
      </w:r>
      <w:permStart w:id="3" w:edGrp="everyone"/>
      <w:r>
        <w:rPr>
          <w:rFonts w:hint="eastAsia" w:asciiTheme="minorEastAsia" w:hAnsiTheme="minorEastAsia" w:cstheme="minorEastAsia"/>
          <w:sz w:val="28"/>
          <w:szCs w:val="28"/>
          <w:highlight w:val="none"/>
          <w:u w:val="none"/>
          <w:lang w:val="en-US" w:eastAsia="zh-CN"/>
        </w:rPr>
        <w:t>亳州逸合府一期施工总承包项目标识标线工程专业分包</w:t>
      </w:r>
    </w:p>
    <w:permEnd w:id="3"/>
    <w:p w14:paraId="1121C96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r>
        <w:rPr>
          <w:rFonts w:hint="eastAsia" w:asciiTheme="minorEastAsia" w:hAnsiTheme="minorEastAsia" w:eastAsiaTheme="minorEastAsia" w:cstheme="minorEastAsia"/>
          <w:sz w:val="28"/>
          <w:szCs w:val="28"/>
          <w:highlight w:val="none"/>
          <w:lang w:val="en-US" w:eastAsia="zh-CN"/>
        </w:rPr>
        <w:t>项目</w:t>
      </w:r>
      <w:r>
        <w:rPr>
          <w:rFonts w:hint="eastAsia" w:asciiTheme="minorEastAsia" w:hAnsiTheme="minorEastAsia" w:cstheme="minorEastAsia"/>
          <w:sz w:val="28"/>
          <w:szCs w:val="28"/>
          <w:highlight w:val="none"/>
          <w:lang w:val="en-US" w:eastAsia="zh-CN"/>
        </w:rPr>
        <w:t>编号</w:t>
      </w:r>
      <w:r>
        <w:rPr>
          <w:rFonts w:hint="eastAsia" w:asciiTheme="minorEastAsia" w:hAnsiTheme="minorEastAsia" w:eastAsiaTheme="minorEastAsia" w:cstheme="minorEastAsia"/>
          <w:sz w:val="28"/>
          <w:szCs w:val="28"/>
          <w:highlight w:val="none"/>
          <w:lang w:val="en-US" w:eastAsia="zh-CN"/>
        </w:rPr>
        <w:t>：</w:t>
      </w:r>
      <w:permStart w:id="4" w:edGrp="everyone"/>
      <w:r>
        <w:rPr>
          <w:rFonts w:hint="eastAsia" w:asciiTheme="minorEastAsia" w:hAnsiTheme="minorEastAsia" w:cstheme="minorEastAsia"/>
          <w:sz w:val="28"/>
          <w:szCs w:val="28"/>
          <w:highlight w:val="none"/>
          <w:lang w:val="en-US" w:eastAsia="zh-CN"/>
        </w:rPr>
        <w:t>AHTKJS-2026-021号</w:t>
      </w:r>
      <w:r>
        <w:rPr>
          <w:rFonts w:hint="eastAsia" w:asciiTheme="minorEastAsia" w:hAnsiTheme="minorEastAsia" w:eastAsiaTheme="minorEastAsia" w:cstheme="minorEastAsia"/>
          <w:sz w:val="28"/>
          <w:szCs w:val="28"/>
          <w:highlight w:val="none"/>
          <w:lang w:val="en-US" w:eastAsia="zh-CN"/>
        </w:rPr>
        <w:t xml:space="preserve"> </w:t>
      </w:r>
      <w:permEnd w:id="4"/>
    </w:p>
    <w:p w14:paraId="6B077A0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采购人</w:t>
      </w:r>
      <w:r>
        <w:rPr>
          <w:rFonts w:hint="eastAsia" w:asciiTheme="minorEastAsia" w:hAnsiTheme="minorEastAsia" w:eastAsiaTheme="minorEastAsia" w:cstheme="minorEastAsia"/>
          <w:sz w:val="28"/>
          <w:szCs w:val="28"/>
          <w:highlight w:val="none"/>
          <w:lang w:val="en-US" w:eastAsia="zh-CN"/>
        </w:rPr>
        <w:t>：</w:t>
      </w:r>
      <w:permStart w:id="5" w:edGrp="everyone"/>
      <w:r>
        <w:rPr>
          <w:rFonts w:hint="eastAsia" w:asciiTheme="minorEastAsia" w:hAnsiTheme="minorEastAsia" w:eastAsiaTheme="minorEastAsia" w:cstheme="minorEastAsia"/>
          <w:sz w:val="28"/>
          <w:szCs w:val="28"/>
          <w:highlight w:val="none"/>
          <w:lang w:val="en-US" w:eastAsia="zh-CN"/>
        </w:rPr>
        <w:t>安徽通康建设工程有限公司</w:t>
      </w:r>
      <w:r>
        <w:rPr>
          <w:rFonts w:hint="eastAsia" w:asciiTheme="minorEastAsia" w:hAnsiTheme="minorEastAsia" w:cstheme="minorEastAsia"/>
          <w:color w:val="FF0000"/>
          <w:sz w:val="28"/>
          <w:szCs w:val="28"/>
          <w:highlight w:val="none"/>
          <w:lang w:val="en-US" w:eastAsia="zh-CN"/>
        </w:rPr>
        <w:t xml:space="preserve"> </w:t>
      </w:r>
      <w:permEnd w:id="5"/>
    </w:p>
    <w:p w14:paraId="413FAF6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资金落实情况</w:t>
      </w:r>
      <w:r>
        <w:rPr>
          <w:rFonts w:hint="eastAsia" w:asciiTheme="minorEastAsia" w:hAnsiTheme="minorEastAsia" w:eastAsiaTheme="minorEastAsia" w:cstheme="minorEastAsia"/>
          <w:sz w:val="28"/>
          <w:szCs w:val="28"/>
          <w:highlight w:val="none"/>
          <w:lang w:val="en-US" w:eastAsia="zh-CN"/>
        </w:rPr>
        <w:t>：</w:t>
      </w:r>
      <w:permStart w:id="6" w:edGrp="everyone"/>
      <w:r>
        <w:rPr>
          <w:rFonts w:hint="eastAsia" w:asciiTheme="minorEastAsia" w:hAnsiTheme="minorEastAsia" w:cstheme="minorEastAsia"/>
          <w:sz w:val="28"/>
          <w:szCs w:val="28"/>
          <w:highlight w:val="none"/>
          <w:lang w:val="en-US" w:eastAsia="zh-CN"/>
        </w:rPr>
        <w:t>企业自筹</w:t>
      </w:r>
      <w:r>
        <w:rPr>
          <w:rFonts w:hint="eastAsia" w:asciiTheme="minorEastAsia" w:hAnsiTheme="minorEastAsia" w:cstheme="minorEastAsia"/>
          <w:color w:val="FF0000"/>
          <w:sz w:val="28"/>
          <w:szCs w:val="28"/>
          <w:highlight w:val="none"/>
          <w:u w:val="none"/>
          <w:lang w:val="en-US" w:eastAsia="zh-CN"/>
        </w:rPr>
        <w:t xml:space="preserve"> </w:t>
      </w:r>
      <w:permEnd w:id="6"/>
    </w:p>
    <w:p w14:paraId="705F257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五</w:t>
      </w:r>
      <w:r>
        <w:rPr>
          <w:rFonts w:hint="eastAsia" w:asciiTheme="minorEastAsia" w:hAnsiTheme="minorEastAsia" w:eastAsiaTheme="minorEastAsia" w:cstheme="minorEastAsia"/>
          <w:sz w:val="28"/>
          <w:szCs w:val="28"/>
          <w:highlight w:val="none"/>
          <w:lang w:val="en-US" w:eastAsia="zh-CN"/>
        </w:rPr>
        <w:t>）最高限价</w:t>
      </w:r>
      <w:permStart w:id="7" w:edGrp="everyone"/>
      <w:r>
        <w:rPr>
          <w:rFonts w:hint="eastAsia" w:asciiTheme="minorEastAsia" w:hAnsiTheme="minorEastAsia" w:eastAsiaTheme="minorEastAsia" w:cstheme="minorEastAsia"/>
          <w:color w:val="FF0000"/>
          <w:kern w:val="2"/>
          <w:sz w:val="28"/>
          <w:szCs w:val="28"/>
          <w:highlight w:val="none"/>
          <w:lang w:val="en-US" w:eastAsia="zh-CN"/>
        </w:rPr>
        <w:t>（含税，9%）</w:t>
      </w:r>
      <w:permEnd w:id="7"/>
      <w:r>
        <w:rPr>
          <w:rFonts w:hint="eastAsia" w:asciiTheme="minorEastAsia" w:hAnsiTheme="minorEastAsia" w:eastAsiaTheme="minorEastAsia" w:cstheme="minorEastAsia"/>
          <w:kern w:val="2"/>
          <w:sz w:val="28"/>
          <w:szCs w:val="28"/>
          <w:highlight w:val="none"/>
          <w:lang w:val="en-US" w:eastAsia="zh-CN"/>
        </w:rPr>
        <w:t>：</w:t>
      </w:r>
      <w:permStart w:id="8" w:edGrp="everyone"/>
      <w:r>
        <w:rPr>
          <w:rFonts w:hint="eastAsia" w:asciiTheme="minorEastAsia" w:hAnsiTheme="minorEastAsia" w:eastAsiaTheme="minorEastAsia" w:cstheme="minorEastAsia"/>
          <w:color w:val="FF0000"/>
          <w:kern w:val="2"/>
          <w:sz w:val="28"/>
          <w:szCs w:val="28"/>
          <w:highlight w:val="none"/>
          <w:lang w:val="en-US" w:eastAsia="zh-CN"/>
        </w:rPr>
        <w:t>约89万元</w:t>
      </w:r>
      <w:permEnd w:id="8"/>
      <w:r>
        <w:rPr>
          <w:rFonts w:hint="eastAsia" w:asciiTheme="minorEastAsia" w:hAnsiTheme="minorEastAsia" w:eastAsiaTheme="minorEastAsia" w:cstheme="minorEastAsia"/>
          <w:kern w:val="2"/>
          <w:sz w:val="28"/>
          <w:szCs w:val="28"/>
          <w:highlight w:val="none"/>
          <w:lang w:val="en-US" w:eastAsia="zh-CN"/>
        </w:rPr>
        <w:t>，最终报价以建设单位提供的清单控制价中标识标线工程专业分包部分为基数，响应报价不得超过基数的</w:t>
      </w:r>
      <w:r>
        <w:rPr>
          <w:rFonts w:hint="eastAsia" w:asciiTheme="minorEastAsia" w:hAnsiTheme="minorEastAsia" w:eastAsiaTheme="minorEastAsia" w:cstheme="minorEastAsia"/>
          <w:color w:val="FF0000"/>
          <w:kern w:val="2"/>
          <w:sz w:val="28"/>
          <w:szCs w:val="28"/>
          <w:highlight w:val="none"/>
          <w:lang w:val="en-US" w:eastAsia="zh-CN"/>
        </w:rPr>
        <w:t>85%</w:t>
      </w:r>
      <w:r>
        <w:rPr>
          <w:rFonts w:hint="eastAsia" w:asciiTheme="minorEastAsia" w:hAnsiTheme="minorEastAsia" w:eastAsiaTheme="minorEastAsia" w:cstheme="minorEastAsia"/>
          <w:kern w:val="2"/>
          <w:sz w:val="28"/>
          <w:szCs w:val="28"/>
          <w:highlight w:val="none"/>
          <w:lang w:val="en-US" w:eastAsia="zh-CN"/>
        </w:rPr>
        <w:t>，供应商按</w:t>
      </w:r>
      <w:permStart w:id="9" w:edGrp="everyone"/>
      <w:r>
        <w:rPr>
          <w:rFonts w:hint="eastAsia" w:asciiTheme="minorEastAsia" w:hAnsiTheme="minorEastAsia" w:eastAsiaTheme="minorEastAsia" w:cstheme="minorEastAsia"/>
          <w:color w:val="FF0000"/>
          <w:kern w:val="2"/>
          <w:sz w:val="28"/>
          <w:szCs w:val="28"/>
          <w:highlight w:val="none"/>
          <w:lang w:val="en-US" w:eastAsia="zh-CN"/>
        </w:rPr>
        <w:t>费率</w:t>
      </w:r>
      <w:permEnd w:id="9"/>
      <w:r>
        <w:rPr>
          <w:rFonts w:hint="eastAsia" w:asciiTheme="minorEastAsia" w:hAnsiTheme="minorEastAsia" w:eastAsiaTheme="minorEastAsia" w:cstheme="minorEastAsia"/>
          <w:kern w:val="2"/>
          <w:sz w:val="28"/>
          <w:szCs w:val="28"/>
          <w:highlight w:val="none"/>
          <w:lang w:val="en-US" w:eastAsia="zh-CN"/>
        </w:rPr>
        <w:t>报价</w:t>
      </w:r>
      <w:r>
        <w:rPr>
          <w:rFonts w:hint="eastAsia" w:asciiTheme="minorEastAsia" w:hAnsiTheme="minorEastAsia" w:eastAsiaTheme="minorEastAsia" w:cstheme="minorEastAsia"/>
          <w:sz w:val="28"/>
          <w:szCs w:val="28"/>
          <w:highlight w:val="none"/>
          <w:lang w:val="en-US" w:eastAsia="zh-CN"/>
        </w:rPr>
        <w:t>。报价超出限价或低于成本价的，按无效</w:t>
      </w:r>
      <w:r>
        <w:rPr>
          <w:rFonts w:hint="eastAsia" w:asciiTheme="minorEastAsia" w:hAnsiTheme="minorEastAsia" w:cstheme="minorEastAsia"/>
          <w:sz w:val="28"/>
          <w:szCs w:val="28"/>
          <w:highlight w:val="none"/>
          <w:lang w:val="en-US" w:eastAsia="zh-CN"/>
        </w:rPr>
        <w:t>报价</w:t>
      </w:r>
      <w:r>
        <w:rPr>
          <w:rFonts w:hint="eastAsia" w:asciiTheme="minorEastAsia" w:hAnsiTheme="minorEastAsia" w:eastAsiaTheme="minorEastAsia" w:cstheme="minorEastAsia"/>
          <w:sz w:val="28"/>
          <w:szCs w:val="28"/>
          <w:highlight w:val="none"/>
          <w:lang w:val="en-US" w:eastAsia="zh-CN"/>
        </w:rPr>
        <w:t>处理；报价应包括为完成本项目</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范围内各阶段工作内容所需的全部费用</w:t>
      </w:r>
      <w:r>
        <w:rPr>
          <w:rFonts w:hint="eastAsia" w:asciiTheme="minorEastAsia" w:hAnsiTheme="minorEastAsia" w:cstheme="minorEastAsia"/>
          <w:sz w:val="28"/>
          <w:szCs w:val="28"/>
          <w:highlight w:val="none"/>
          <w:lang w:val="en-US" w:eastAsia="zh-CN"/>
        </w:rPr>
        <w:t>，成交后不予调整，其他未尽事宜应统一考虑在报价内</w:t>
      </w:r>
      <w:r>
        <w:rPr>
          <w:rFonts w:hint="eastAsia" w:asciiTheme="minorEastAsia" w:hAnsiTheme="minorEastAsia" w:eastAsiaTheme="minorEastAsia" w:cstheme="minorEastAsia"/>
          <w:sz w:val="28"/>
          <w:szCs w:val="28"/>
          <w:highlight w:val="none"/>
          <w:lang w:val="en-US" w:eastAsia="zh-CN"/>
        </w:rPr>
        <w:t>。不含税价格不因国家税率变化而改变，在合同履行期间，如遇国家税率调整，则价税合计的价格应相应调整，以开具发票的时间为准。</w:t>
      </w:r>
    </w:p>
    <w:p w14:paraId="45AD3F4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二、采购范围及相关要求</w:t>
      </w:r>
      <w:r>
        <w:rPr>
          <w:rFonts w:hint="default" w:ascii="Times New Roman" w:hAnsi="Times New Roman" w:eastAsia="仿宋_GB2312" w:cs="Times New Roman"/>
          <w:sz w:val="28"/>
          <w:szCs w:val="28"/>
          <w:highlight w:val="none"/>
          <w:lang w:val="en-US" w:eastAsia="zh-CN"/>
        </w:rPr>
        <w:tab/>
      </w:r>
    </w:p>
    <w:p w14:paraId="0736D08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（一）采购范围</w:t>
      </w:r>
      <w:r>
        <w:rPr>
          <w:rFonts w:hint="eastAsia" w:asciiTheme="minorEastAsia" w:hAnsiTheme="minorEastAsia" w:eastAsiaTheme="minorEastAsia" w:cstheme="minorEastAsia"/>
          <w:sz w:val="28"/>
          <w:szCs w:val="28"/>
          <w:highlight w:val="none"/>
          <w:lang w:val="en-US" w:eastAsia="zh-CN"/>
        </w:rPr>
        <w:t>：</w:t>
      </w:r>
      <w:permStart w:id="10" w:edGrp="everyone"/>
      <w:r>
        <w:rPr>
          <w:rFonts w:hint="eastAsia" w:asciiTheme="minorEastAsia" w:hAnsiTheme="minorEastAsia" w:eastAsiaTheme="minorEastAsia" w:cstheme="minorEastAsia"/>
          <w:sz w:val="28"/>
          <w:szCs w:val="28"/>
          <w:highlight w:val="none"/>
          <w:lang w:val="en-US" w:eastAsia="zh-CN"/>
        </w:rPr>
        <w:t>本次采购的范围是亳州逸合府一期施工总承包项目的标识、标线等施工内容。具体工程量以供应商实际完成合格工程量为准，清单数量、特征描述、规格要求、外观样式为暂定，采购人据实按含税单价结算。供应商响应前请认真看阅清单及要求、并现场勘察了解情况，响应时我方认为供应商已充分了解工程概况及工作范围。</w:t>
      </w:r>
    </w:p>
    <w:permEnd w:id="10"/>
    <w:p w14:paraId="394679E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permStart w:id="11" w:edGrp="everyone"/>
      <w:r>
        <w:rPr>
          <w:rFonts w:hint="eastAsia" w:ascii="宋体" w:hAnsi="宋体" w:cs="宋体"/>
          <w:color w:val="auto"/>
          <w:kern w:val="2"/>
          <w:sz w:val="28"/>
          <w:szCs w:val="28"/>
          <w:highlight w:val="none"/>
          <w:lang w:val="en-US" w:eastAsia="zh-CN"/>
        </w:rPr>
        <w:t>计划工期</w:t>
      </w:r>
      <w:r>
        <w:rPr>
          <w:rFonts w:hint="eastAsia" w:ascii="宋体" w:hAnsi="宋体" w:eastAsia="宋体" w:cs="宋体"/>
          <w:color w:val="auto"/>
          <w:kern w:val="2"/>
          <w:sz w:val="28"/>
          <w:szCs w:val="28"/>
          <w:highlight w:val="none"/>
          <w:lang w:val="en-US" w:eastAsia="zh-CN"/>
        </w:rPr>
        <w:t>：自采购人下达开工指令之日起</w:t>
      </w:r>
      <w:r>
        <w:rPr>
          <w:rFonts w:hint="eastAsia" w:ascii="宋体" w:hAnsi="宋体" w:eastAsia="宋体" w:cs="宋体"/>
          <w:color w:val="FF0000"/>
          <w:kern w:val="2"/>
          <w:sz w:val="28"/>
          <w:szCs w:val="28"/>
          <w:highlight w:val="none"/>
          <w:u w:val="single"/>
          <w:lang w:val="en-US" w:eastAsia="zh-CN"/>
        </w:rPr>
        <w:t>90</w:t>
      </w:r>
      <w:r>
        <w:rPr>
          <w:rFonts w:hint="eastAsia" w:ascii="宋体" w:hAnsi="宋体" w:eastAsia="宋体" w:cs="宋体"/>
          <w:color w:val="auto"/>
          <w:kern w:val="2"/>
          <w:sz w:val="28"/>
          <w:szCs w:val="28"/>
          <w:highlight w:val="none"/>
          <w:lang w:val="en-US" w:eastAsia="zh-CN"/>
        </w:rPr>
        <w:t>日历天</w:t>
      </w:r>
      <w:r>
        <w:rPr>
          <w:rFonts w:hint="eastAsia" w:asciiTheme="minorEastAsia" w:hAnsiTheme="minorEastAsia" w:cstheme="minorEastAsia"/>
          <w:sz w:val="28"/>
          <w:szCs w:val="28"/>
          <w:highlight w:val="none"/>
          <w:lang w:val="en-US" w:eastAsia="zh-CN"/>
        </w:rPr>
        <w:t>。</w:t>
      </w:r>
      <w:permEnd w:id="11"/>
    </w:p>
    <w:p w14:paraId="7EAEC06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（三）施工地点</w:t>
      </w:r>
      <w:r>
        <w:rPr>
          <w:rFonts w:hint="eastAsia" w:asciiTheme="minorEastAsia" w:hAnsiTheme="minorEastAsia" w:eastAsiaTheme="minorEastAsia" w:cstheme="minorEastAsia"/>
          <w:sz w:val="28"/>
          <w:szCs w:val="28"/>
          <w:highlight w:val="none"/>
          <w:lang w:val="en-US" w:eastAsia="zh-CN"/>
        </w:rPr>
        <w:t>：</w:t>
      </w:r>
      <w:permStart w:id="12" w:edGrp="everyone"/>
      <w:r>
        <w:rPr>
          <w:rFonts w:hint="eastAsia" w:ascii="宋体" w:hAnsi="宋体" w:eastAsia="宋体" w:cs="宋体"/>
          <w:color w:val="auto"/>
          <w:kern w:val="2"/>
          <w:sz w:val="28"/>
          <w:szCs w:val="28"/>
          <w:highlight w:val="none"/>
          <w:lang w:val="en-US" w:eastAsia="zh-CN"/>
        </w:rPr>
        <w:t>亳州市谯城区</w:t>
      </w:r>
      <w:r>
        <w:rPr>
          <w:rFonts w:hint="eastAsia" w:asciiTheme="minorEastAsia" w:hAnsiTheme="minorEastAsia" w:cstheme="minorEastAsia"/>
          <w:sz w:val="28"/>
          <w:szCs w:val="28"/>
          <w:highlight w:val="none"/>
          <w:lang w:val="en-US" w:eastAsia="zh-CN"/>
        </w:rPr>
        <w:t>。</w:t>
      </w:r>
      <w:r>
        <w:rPr>
          <w:rFonts w:hint="eastAsia" w:asciiTheme="minorEastAsia" w:hAnsiTheme="minorEastAsia" w:cstheme="minorEastAsia"/>
          <w:color w:val="FF0000"/>
          <w:sz w:val="28"/>
          <w:szCs w:val="28"/>
          <w:highlight w:val="none"/>
          <w:lang w:val="en-US" w:eastAsia="zh-CN"/>
        </w:rPr>
        <w:t xml:space="preserve"> </w:t>
      </w:r>
      <w:permEnd w:id="12"/>
    </w:p>
    <w:p w14:paraId="1103981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）质量标准：</w:t>
      </w:r>
      <w:permStart w:id="13" w:edGrp="everyone"/>
      <w:r>
        <w:rPr>
          <w:rFonts w:hint="eastAsia" w:asciiTheme="minorEastAsia" w:hAnsiTheme="minorEastAsia" w:eastAsiaTheme="minorEastAsia" w:cstheme="minorEastAsia"/>
          <w:sz w:val="28"/>
          <w:szCs w:val="28"/>
          <w:highlight w:val="none"/>
          <w:lang w:val="en-US" w:eastAsia="zh-CN"/>
        </w:rPr>
        <w:t>符合国家、地方、行业现行相关规范合格标准。</w:t>
      </w:r>
      <w:permEnd w:id="13"/>
    </w:p>
    <w:p w14:paraId="2AEA828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三、供应商资格要求</w:t>
      </w:r>
    </w:p>
    <w:p w14:paraId="1A3C814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（一）供应商须具有独立法人资格，并在人员、设备、施工机具、资金等方面具有承担本工程施工的能力。</w:t>
      </w:r>
    </w:p>
    <w:p w14:paraId="3F6FF5F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（二）供应商须具备</w:t>
      </w:r>
      <w:r>
        <w:rPr>
          <w:rFonts w:hint="eastAsia" w:asciiTheme="minorEastAsia" w:hAnsiTheme="minorEastAsia" w:eastAsiaTheme="minorEastAsia" w:cstheme="minorEastAsia"/>
          <w:color w:val="FF0000"/>
          <w:kern w:val="2"/>
          <w:sz w:val="28"/>
          <w:szCs w:val="28"/>
          <w:highlight w:val="none"/>
          <w:lang w:val="en-US" w:eastAsia="zh-CN"/>
        </w:rPr>
        <w:t>市政公用工程施工总承包</w:t>
      </w:r>
      <w:r>
        <w:rPr>
          <w:rFonts w:hint="eastAsia" w:asciiTheme="minorEastAsia" w:hAnsiTheme="minorEastAsia" w:eastAsiaTheme="minorEastAsia" w:cstheme="minorEastAsia"/>
          <w:kern w:val="2"/>
          <w:sz w:val="28"/>
          <w:szCs w:val="28"/>
          <w:highlight w:val="none"/>
          <w:lang w:val="en-US" w:eastAsia="zh-CN"/>
        </w:rPr>
        <w:t>三级及以上资质或</w:t>
      </w:r>
      <w:r>
        <w:rPr>
          <w:rFonts w:hint="eastAsia" w:asciiTheme="minorEastAsia" w:hAnsiTheme="minorEastAsia" w:eastAsiaTheme="minorEastAsia" w:cstheme="minorEastAsia"/>
          <w:color w:val="FF0000"/>
          <w:kern w:val="2"/>
          <w:sz w:val="28"/>
          <w:szCs w:val="28"/>
          <w:highlight w:val="none"/>
          <w:lang w:val="en-US" w:eastAsia="zh-CN"/>
        </w:rPr>
        <w:t>公路交通工程（公路安全设施分项）</w:t>
      </w:r>
      <w:r>
        <w:rPr>
          <w:rFonts w:hint="eastAsia" w:asciiTheme="minorEastAsia" w:hAnsiTheme="minorEastAsia" w:eastAsiaTheme="minorEastAsia" w:cstheme="minorEastAsia"/>
          <w:kern w:val="2"/>
          <w:sz w:val="28"/>
          <w:szCs w:val="28"/>
          <w:highlight w:val="none"/>
          <w:lang w:val="en-US" w:eastAsia="zh-CN"/>
        </w:rPr>
        <w:t>二级及以上资质，并具有有效的安全生产许可证。</w:t>
      </w:r>
    </w:p>
    <w:p w14:paraId="451C6363">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（三）项目负责人具备</w:t>
      </w:r>
      <w:r>
        <w:rPr>
          <w:rFonts w:hint="eastAsia" w:asciiTheme="minorEastAsia" w:hAnsiTheme="minorEastAsia" w:eastAsiaTheme="minorEastAsia" w:cstheme="minorEastAsia"/>
          <w:color w:val="FF0000"/>
          <w:kern w:val="2"/>
          <w:sz w:val="28"/>
          <w:szCs w:val="28"/>
          <w:highlight w:val="none"/>
          <w:lang w:val="en-US" w:eastAsia="zh-CN"/>
        </w:rPr>
        <w:t>市政工程</w:t>
      </w:r>
      <w:r>
        <w:rPr>
          <w:rFonts w:hint="eastAsia" w:asciiTheme="minorEastAsia" w:hAnsiTheme="minorEastAsia" w:eastAsiaTheme="minorEastAsia" w:cstheme="minorEastAsia"/>
          <w:kern w:val="2"/>
          <w:sz w:val="28"/>
          <w:szCs w:val="28"/>
          <w:highlight w:val="none"/>
          <w:lang w:val="en-US" w:eastAsia="zh-CN"/>
        </w:rPr>
        <w:t>（或</w:t>
      </w:r>
      <w:r>
        <w:rPr>
          <w:rFonts w:hint="eastAsia" w:asciiTheme="minorEastAsia" w:hAnsiTheme="minorEastAsia" w:eastAsiaTheme="minorEastAsia" w:cstheme="minorEastAsia"/>
          <w:color w:val="FF0000"/>
          <w:kern w:val="2"/>
          <w:sz w:val="28"/>
          <w:szCs w:val="28"/>
          <w:highlight w:val="none"/>
          <w:lang w:val="en-US" w:eastAsia="zh-CN"/>
        </w:rPr>
        <w:t>公路工程</w:t>
      </w:r>
      <w:r>
        <w:rPr>
          <w:rFonts w:hint="eastAsia" w:asciiTheme="minorEastAsia" w:hAnsiTheme="minorEastAsia" w:eastAsiaTheme="minorEastAsia" w:cstheme="minorEastAsia"/>
          <w:kern w:val="2"/>
          <w:sz w:val="28"/>
          <w:szCs w:val="28"/>
          <w:highlight w:val="none"/>
          <w:lang w:val="en-US" w:eastAsia="zh-CN"/>
        </w:rPr>
        <w:t>）专业二级建造师及以上执业资格。</w:t>
      </w:r>
    </w:p>
    <w:p w14:paraId="3C39F9D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注：项目负责人应附身份证、执业资格证（或注册证书）、有效的安全考核B证及缴纳养老保险的复印件。养老保险须提供</w:t>
      </w:r>
      <w:r>
        <w:rPr>
          <w:rFonts w:hint="eastAsia" w:asciiTheme="minorEastAsia" w:hAnsiTheme="minorEastAsia" w:eastAsiaTheme="minorEastAsia" w:cstheme="minorEastAsia"/>
          <w:color w:val="FF0000"/>
          <w:kern w:val="2"/>
          <w:sz w:val="28"/>
          <w:szCs w:val="28"/>
          <w:highlight w:val="none"/>
          <w:lang w:val="en-US" w:eastAsia="zh-CN"/>
        </w:rPr>
        <w:t>2025</w:t>
      </w:r>
      <w:r>
        <w:rPr>
          <w:rFonts w:hint="eastAsia" w:asciiTheme="minorEastAsia" w:hAnsiTheme="minorEastAsia" w:eastAsiaTheme="minorEastAsia" w:cstheme="minorEastAsia"/>
          <w:kern w:val="2"/>
          <w:sz w:val="28"/>
          <w:szCs w:val="28"/>
          <w:highlight w:val="none"/>
          <w:lang w:val="en-US" w:eastAsia="zh-CN"/>
        </w:rPr>
        <w:t>年</w:t>
      </w:r>
      <w:r>
        <w:rPr>
          <w:rFonts w:hint="eastAsia" w:asciiTheme="minorEastAsia" w:hAnsiTheme="minorEastAsia" w:eastAsiaTheme="minorEastAsia" w:cstheme="minorEastAsia"/>
          <w:color w:val="FF0000"/>
          <w:kern w:val="2"/>
          <w:sz w:val="28"/>
          <w:szCs w:val="28"/>
          <w:highlight w:val="none"/>
          <w:lang w:val="en-US" w:eastAsia="zh-CN"/>
        </w:rPr>
        <w:t>12</w:t>
      </w:r>
      <w:r>
        <w:rPr>
          <w:rFonts w:hint="eastAsia" w:asciiTheme="minorEastAsia" w:hAnsiTheme="minorEastAsia" w:eastAsiaTheme="minorEastAsia" w:cstheme="minorEastAsia"/>
          <w:kern w:val="2"/>
          <w:sz w:val="28"/>
          <w:szCs w:val="28"/>
          <w:highlight w:val="none"/>
          <w:lang w:val="en-US" w:eastAsia="zh-CN"/>
        </w:rPr>
        <w:t>月以来在</w:t>
      </w:r>
      <w:r>
        <w:rPr>
          <w:rFonts w:hint="eastAsia" w:asciiTheme="minorEastAsia" w:hAnsiTheme="minorEastAsia" w:cstheme="minorEastAsia"/>
          <w:kern w:val="2"/>
          <w:sz w:val="28"/>
          <w:szCs w:val="28"/>
          <w:highlight w:val="none"/>
          <w:lang w:val="en-US" w:eastAsia="zh-CN"/>
        </w:rPr>
        <w:t>供应商</w:t>
      </w:r>
      <w:r>
        <w:rPr>
          <w:rFonts w:hint="eastAsia" w:asciiTheme="minorEastAsia" w:hAnsiTheme="minorEastAsia" w:eastAsiaTheme="minorEastAsia" w:cstheme="minorEastAsia"/>
          <w:kern w:val="2"/>
          <w:sz w:val="28"/>
          <w:szCs w:val="28"/>
          <w:highlight w:val="none"/>
          <w:lang w:val="en-US" w:eastAsia="zh-CN"/>
        </w:rPr>
        <w:t>单位已缴纳的任意</w:t>
      </w:r>
      <w:r>
        <w:rPr>
          <w:rFonts w:hint="eastAsia" w:asciiTheme="minorEastAsia" w:hAnsiTheme="minorEastAsia" w:eastAsiaTheme="minorEastAsia" w:cstheme="minorEastAsia"/>
          <w:color w:val="FF0000"/>
          <w:kern w:val="2"/>
          <w:sz w:val="28"/>
          <w:szCs w:val="28"/>
          <w:highlight w:val="none"/>
          <w:lang w:val="en-US" w:eastAsia="zh-CN"/>
        </w:rPr>
        <w:t>3</w:t>
      </w:r>
      <w:r>
        <w:rPr>
          <w:rFonts w:hint="eastAsia" w:asciiTheme="minorEastAsia" w:hAnsiTheme="minorEastAsia" w:eastAsiaTheme="minorEastAsia" w:cstheme="minorEastAsia"/>
          <w:kern w:val="2"/>
          <w:sz w:val="28"/>
          <w:szCs w:val="28"/>
          <w:highlight w:val="none"/>
          <w:lang w:val="en-US" w:eastAsia="zh-CN"/>
        </w:rPr>
        <w:t>个月的养老保险证明（指养老保险管理单位出具的养老保险证明，加盖养老保险管理单位的公章或电子章；响应时将原件、复印件或扫描件制作在响应文件中）。</w:t>
      </w:r>
    </w:p>
    <w:p w14:paraId="4B789E3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宋体" w:hAnsi="宋体" w:eastAsia="宋体" w:cs="宋体"/>
          <w:sz w:val="28"/>
          <w:szCs w:val="28"/>
          <w:highlight w:val="none"/>
          <w:lang w:val="en-US" w:eastAsia="zh-CN"/>
        </w:rPr>
        <w:t>（四）</w:t>
      </w:r>
      <w:r>
        <w:rPr>
          <w:rFonts w:hint="eastAsia" w:asciiTheme="minorEastAsia" w:hAnsiTheme="minorEastAsia" w:eastAsiaTheme="minorEastAsia" w:cstheme="minorEastAsia"/>
          <w:kern w:val="2"/>
          <w:sz w:val="28"/>
          <w:szCs w:val="28"/>
          <w:highlight w:val="none"/>
          <w:lang w:val="en-US" w:eastAsia="zh-CN"/>
        </w:rPr>
        <w:t>业绩要求：提供</w:t>
      </w:r>
      <w:permStart w:id="14" w:edGrp="everyone"/>
      <w:r>
        <w:rPr>
          <w:rFonts w:hint="eastAsia" w:asciiTheme="minorEastAsia" w:hAnsiTheme="minorEastAsia" w:eastAsiaTheme="minorEastAsia" w:cstheme="minorEastAsia"/>
          <w:color w:val="FF0000"/>
          <w:kern w:val="2"/>
          <w:sz w:val="28"/>
          <w:szCs w:val="28"/>
          <w:highlight w:val="none"/>
          <w:u w:val="single"/>
          <w:lang w:val="en-US" w:eastAsia="zh-CN"/>
        </w:rPr>
        <w:t xml:space="preserve"> 2023 </w:t>
      </w:r>
      <w:permEnd w:id="14"/>
      <w:r>
        <w:rPr>
          <w:rFonts w:hint="eastAsia" w:asciiTheme="minorEastAsia" w:hAnsiTheme="minorEastAsia" w:eastAsiaTheme="minorEastAsia" w:cstheme="minorEastAsia"/>
          <w:kern w:val="2"/>
          <w:sz w:val="28"/>
          <w:szCs w:val="28"/>
          <w:highlight w:val="none"/>
          <w:lang w:val="en-US" w:eastAsia="zh-CN"/>
        </w:rPr>
        <w:t>年至今企业类似项目业绩</w:t>
      </w:r>
      <w:permStart w:id="15" w:edGrp="everyone"/>
      <w:r>
        <w:rPr>
          <w:rFonts w:hint="eastAsia" w:asciiTheme="minorEastAsia" w:hAnsiTheme="minorEastAsia" w:eastAsiaTheme="minorEastAsia" w:cstheme="minorEastAsia"/>
          <w:color w:val="FF0000"/>
          <w:kern w:val="2"/>
          <w:sz w:val="28"/>
          <w:szCs w:val="28"/>
          <w:highlight w:val="none"/>
          <w:u w:val="single"/>
          <w:lang w:val="en-US" w:eastAsia="zh-CN"/>
        </w:rPr>
        <w:t xml:space="preserve"> 1 </w:t>
      </w:r>
      <w:permEnd w:id="15"/>
      <w:r>
        <w:rPr>
          <w:rFonts w:hint="eastAsia" w:asciiTheme="minorEastAsia" w:hAnsiTheme="minorEastAsia" w:eastAsiaTheme="minorEastAsia" w:cstheme="minorEastAsia"/>
          <w:kern w:val="2"/>
          <w:sz w:val="28"/>
          <w:szCs w:val="28"/>
          <w:highlight w:val="none"/>
          <w:lang w:val="en-US" w:eastAsia="zh-CN"/>
        </w:rPr>
        <w:t>个</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kern w:val="2"/>
          <w:sz w:val="28"/>
          <w:szCs w:val="28"/>
          <w:highlight w:val="none"/>
          <w:lang w:val="en-US" w:eastAsia="zh-CN"/>
        </w:rPr>
        <w:t>以</w:t>
      </w:r>
      <w:permStart w:id="16" w:edGrp="everyone"/>
      <w:r>
        <w:rPr>
          <w:rFonts w:hint="eastAsia" w:asciiTheme="minorEastAsia" w:hAnsiTheme="minorEastAsia" w:eastAsiaTheme="minorEastAsia" w:cstheme="minorEastAsia"/>
          <w:kern w:val="2"/>
          <w:sz w:val="28"/>
          <w:szCs w:val="28"/>
          <w:highlight w:val="none"/>
          <w:lang w:val="en-US" w:eastAsia="zh-CN"/>
        </w:rPr>
        <w:t>合同签订时间</w:t>
      </w:r>
      <w:permEnd w:id="16"/>
      <w:r>
        <w:rPr>
          <w:rFonts w:hint="eastAsia" w:asciiTheme="minorEastAsia" w:hAnsiTheme="minorEastAsia" w:eastAsiaTheme="minorEastAsia" w:cstheme="minorEastAsia"/>
          <w:kern w:val="2"/>
          <w:sz w:val="28"/>
          <w:szCs w:val="28"/>
          <w:highlight w:val="none"/>
          <w:lang w:val="en-US" w:eastAsia="zh-CN"/>
        </w:rPr>
        <w:t>为准。类似项目业绩指</w:t>
      </w:r>
      <w:r>
        <w:rPr>
          <w:rFonts w:hint="eastAsia" w:asciiTheme="minorEastAsia" w:hAnsiTheme="minorEastAsia" w:eastAsiaTheme="minorEastAsia" w:cstheme="minorEastAsia"/>
          <w:sz w:val="28"/>
          <w:szCs w:val="28"/>
          <w:highlight w:val="none"/>
          <w:lang w:val="en-US" w:eastAsia="zh-CN"/>
        </w:rPr>
        <w:t>：</w:t>
      </w:r>
      <w:permStart w:id="17" w:edGrp="everyone"/>
      <w:r>
        <w:rPr>
          <w:rFonts w:hint="eastAsia" w:asciiTheme="minorEastAsia" w:hAnsiTheme="minorEastAsia" w:eastAsiaTheme="minorEastAsia" w:cstheme="minorEastAsia"/>
          <w:color w:val="FF0000"/>
          <w:kern w:val="2"/>
          <w:sz w:val="28"/>
          <w:szCs w:val="28"/>
          <w:highlight w:val="none"/>
          <w:u w:val="single"/>
          <w:lang w:val="en-US" w:eastAsia="zh-CN"/>
        </w:rPr>
        <w:t>单项合同金额不低于60万元的房建工程（或市政工程）标识、标线施工业绩</w:t>
      </w:r>
      <w:permEnd w:id="17"/>
      <w:r>
        <w:rPr>
          <w:rFonts w:hint="eastAsia" w:asciiTheme="minorEastAsia" w:hAnsiTheme="minorEastAsia" w:eastAsiaTheme="minorEastAsia" w:cstheme="minorEastAsia"/>
          <w:sz w:val="28"/>
          <w:szCs w:val="28"/>
          <w:highlight w:val="none"/>
          <w:lang w:val="en-US" w:eastAsia="zh-CN"/>
        </w:rPr>
        <w:t>；</w:t>
      </w:r>
    </w:p>
    <w:p w14:paraId="5720CA3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注：</w:t>
      </w:r>
      <w:r>
        <w:rPr>
          <w:rFonts w:hint="eastAsia" w:asciiTheme="minorEastAsia" w:hAnsiTheme="minorEastAsia" w:eastAsiaTheme="minorEastAsia" w:cstheme="minorEastAsia"/>
          <w:kern w:val="2"/>
          <w:sz w:val="28"/>
          <w:szCs w:val="28"/>
          <w:highlight w:val="none"/>
          <w:lang w:val="en-US" w:eastAsia="zh-CN"/>
        </w:rPr>
        <w:t>提供业绩合同、合同任意节点税务发票等相关资料复印件或扫描件装订入响应文件中</w:t>
      </w:r>
      <w:r>
        <w:rPr>
          <w:rFonts w:hint="default" w:asciiTheme="minorEastAsia" w:hAnsiTheme="minorEastAsia" w:eastAsiaTheme="minorEastAsia" w:cstheme="minorEastAsia"/>
          <w:kern w:val="2"/>
          <w:sz w:val="28"/>
          <w:szCs w:val="28"/>
          <w:highlight w:val="none"/>
          <w:lang w:val="en-US" w:eastAsia="zh-CN"/>
        </w:rPr>
        <w:t>。</w:t>
      </w:r>
    </w:p>
    <w:p w14:paraId="33084447">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（五）信用要求：供应商（含分公司，不含子公司）不得存在下列情形之一。</w:t>
      </w:r>
    </w:p>
    <w:p w14:paraId="50467F8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（1）供应商被人民法院列入失信被执行人的；</w:t>
      </w:r>
    </w:p>
    <w:p w14:paraId="7708FCBF">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（2）供应商被市场监督管理部门列入企业经营异常名录的；</w:t>
      </w:r>
    </w:p>
    <w:p w14:paraId="40F690F3">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（3）供应商被税务部门列入重大税收违法案件当事人名单的；</w:t>
      </w:r>
    </w:p>
    <w:p w14:paraId="1156B7E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（4）供应商在以往承接亳州交通投资控股集团有限公司及下属企业项目过程中被记入“黑名单”。</w:t>
      </w:r>
    </w:p>
    <w:p w14:paraId="64B93F7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（六）</w:t>
      </w:r>
      <w:r>
        <w:rPr>
          <w:rFonts w:hint="eastAsia" w:asciiTheme="minorEastAsia" w:hAnsiTheme="minorEastAsia" w:eastAsiaTheme="minorEastAsia" w:cstheme="minorEastAsia"/>
          <w:sz w:val="28"/>
          <w:szCs w:val="28"/>
          <w:highlight w:val="none"/>
          <w:lang w:val="en-US" w:eastAsia="zh-CN"/>
        </w:rPr>
        <w:t>本次</w:t>
      </w:r>
      <w:permStart w:id="18" w:edGrp="everyone"/>
      <w:r>
        <w:rPr>
          <w:rFonts w:hint="eastAsia" w:asciiTheme="minorEastAsia" w:hAnsiTheme="minorEastAsia" w:eastAsiaTheme="minorEastAsia" w:cstheme="minorEastAsia"/>
          <w:sz w:val="28"/>
          <w:szCs w:val="28"/>
          <w:highlight w:val="none"/>
          <w:lang w:val="en-US" w:eastAsia="zh-CN"/>
        </w:rPr>
        <w:t>采购</w:t>
      </w:r>
      <w:r>
        <w:rPr>
          <w:rFonts w:hint="eastAsia" w:asciiTheme="minorEastAsia" w:hAnsiTheme="minorEastAsia" w:eastAsiaTheme="minorEastAsia" w:cstheme="minorEastAsia"/>
          <w:color w:val="FF0000"/>
          <w:kern w:val="2"/>
          <w:sz w:val="28"/>
          <w:szCs w:val="28"/>
          <w:highlight w:val="none"/>
          <w:lang w:val="en-US" w:eastAsia="zh-CN"/>
        </w:rPr>
        <w:t>不接受</w:t>
      </w:r>
      <w:permEnd w:id="18"/>
      <w:r>
        <w:rPr>
          <w:rFonts w:hint="eastAsia" w:asciiTheme="minorEastAsia" w:hAnsiTheme="minorEastAsia" w:eastAsiaTheme="minorEastAsia" w:cstheme="minorEastAsia"/>
          <w:kern w:val="2"/>
          <w:sz w:val="28"/>
          <w:szCs w:val="28"/>
          <w:highlight w:val="none"/>
          <w:lang w:val="en-US" w:eastAsia="zh-CN"/>
        </w:rPr>
        <w:t>联合体</w:t>
      </w:r>
      <w:r>
        <w:rPr>
          <w:rFonts w:hint="eastAsia" w:asciiTheme="minorEastAsia" w:hAnsiTheme="minorEastAsia" w:cstheme="minorEastAsia"/>
          <w:sz w:val="28"/>
          <w:szCs w:val="28"/>
          <w:highlight w:val="none"/>
          <w:lang w:val="en-US" w:eastAsia="zh-CN"/>
        </w:rPr>
        <w:t>。</w:t>
      </w:r>
    </w:p>
    <w:p w14:paraId="4542DA8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四、询比文件的获取</w:t>
      </w:r>
    </w:p>
    <w:p w14:paraId="0F516644">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凡有意参加者，请于</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递交截止时间前到亳州交通投资控股集团有限公司官网（www.bzjkjt.com）自行下载电子</w:t>
      </w:r>
      <w:r>
        <w:rPr>
          <w:rFonts w:hint="eastAsia" w:asciiTheme="minorEastAsia" w:hAnsiTheme="minorEastAsia" w:cstheme="minorEastAsia"/>
          <w:sz w:val="28"/>
          <w:szCs w:val="28"/>
          <w:highlight w:val="none"/>
          <w:lang w:val="en-US" w:eastAsia="zh-CN"/>
        </w:rPr>
        <w:t>采购</w:t>
      </w:r>
      <w:r>
        <w:rPr>
          <w:rFonts w:hint="default" w:asciiTheme="minorEastAsia" w:hAnsiTheme="minorEastAsia" w:eastAsiaTheme="minorEastAsia" w:cstheme="minorEastAsia"/>
          <w:sz w:val="28"/>
          <w:szCs w:val="28"/>
          <w:highlight w:val="none"/>
          <w:lang w:val="en-US" w:eastAsia="zh-CN"/>
        </w:rPr>
        <w:t>文件及其他附件。</w:t>
      </w:r>
    </w:p>
    <w:p w14:paraId="6C5A499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五、响应文件的递交与开启</w:t>
      </w:r>
    </w:p>
    <w:p w14:paraId="1A4B98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heme="minorEastAsia" w:hAnsiTheme="minorEastAsia" w:cstheme="minorEastAsia"/>
          <w:i w:val="0"/>
          <w:iCs w:val="0"/>
          <w:color w:val="FF0000"/>
          <w:sz w:val="28"/>
          <w:szCs w:val="28"/>
          <w:highlight w:val="none"/>
          <w:u w:val="single"/>
          <w:lang w:val="en-US" w:eastAsia="zh-CN"/>
        </w:rPr>
      </w:pPr>
      <w:r>
        <w:rPr>
          <w:rFonts w:hint="eastAsia" w:asciiTheme="minorEastAsia" w:hAnsiTheme="minorEastAsia" w:cstheme="minorEastAsia"/>
          <w:i w:val="0"/>
          <w:iCs w:val="0"/>
          <w:color w:val="auto"/>
          <w:sz w:val="28"/>
          <w:szCs w:val="28"/>
          <w:highlight w:val="none"/>
          <w:u w:val="none"/>
          <w:lang w:val="en-US" w:eastAsia="zh-CN"/>
        </w:rPr>
        <w:t>（一）开启时间（响应文件递交的截止时间）：</w:t>
      </w:r>
      <w:permStart w:id="19" w:edGrp="everyone"/>
      <w:r>
        <w:rPr>
          <w:rFonts w:hint="eastAsia" w:asciiTheme="minorEastAsia" w:hAnsiTheme="minorEastAsia" w:cstheme="minorEastAsia"/>
          <w:i/>
          <w:iCs/>
          <w:color w:val="FF0000"/>
          <w:sz w:val="28"/>
          <w:szCs w:val="28"/>
          <w:highlight w:val="none"/>
          <w:u w:val="single"/>
          <w:lang w:val="en-US" w:eastAsia="zh-CN"/>
        </w:rPr>
        <w:t xml:space="preserve">2026 </w:t>
      </w:r>
      <w:r>
        <w:rPr>
          <w:rFonts w:hint="eastAsia" w:asciiTheme="minorEastAsia" w:hAnsiTheme="minorEastAsia" w:cstheme="minorEastAsia"/>
          <w:i w:val="0"/>
          <w:iCs w:val="0"/>
          <w:color w:val="auto"/>
          <w:sz w:val="28"/>
          <w:szCs w:val="28"/>
          <w:highlight w:val="none"/>
          <w:u w:val="none"/>
          <w:lang w:val="en-US" w:eastAsia="zh-CN"/>
        </w:rPr>
        <w:t>年</w:t>
      </w:r>
      <w:r>
        <w:rPr>
          <w:rFonts w:hint="eastAsia" w:asciiTheme="minorEastAsia" w:hAnsiTheme="minorEastAsia" w:cstheme="minorEastAsia"/>
          <w:i/>
          <w:iCs/>
          <w:color w:val="FF0000"/>
          <w:sz w:val="28"/>
          <w:szCs w:val="28"/>
          <w:highlight w:val="none"/>
          <w:u w:val="single"/>
          <w:lang w:val="en-US" w:eastAsia="zh-CN"/>
        </w:rPr>
        <w:t>5</w:t>
      </w:r>
      <w:r>
        <w:rPr>
          <w:rFonts w:hint="eastAsia" w:asciiTheme="minorEastAsia" w:hAnsiTheme="minorEastAsia" w:cstheme="minorEastAsia"/>
          <w:i w:val="0"/>
          <w:iCs w:val="0"/>
          <w:color w:val="auto"/>
          <w:sz w:val="28"/>
          <w:szCs w:val="28"/>
          <w:highlight w:val="none"/>
          <w:u w:val="none"/>
          <w:lang w:val="en-US" w:eastAsia="zh-CN"/>
        </w:rPr>
        <w:t>月</w:t>
      </w:r>
      <w:r>
        <w:rPr>
          <w:rFonts w:hint="eastAsia" w:asciiTheme="minorEastAsia" w:hAnsiTheme="minorEastAsia" w:cstheme="minorEastAsia"/>
          <w:i/>
          <w:iCs/>
          <w:color w:val="FF0000"/>
          <w:sz w:val="28"/>
          <w:szCs w:val="28"/>
          <w:highlight w:val="none"/>
          <w:u w:val="single"/>
          <w:lang w:val="en-US" w:eastAsia="zh-CN"/>
        </w:rPr>
        <w:t>13</w:t>
      </w:r>
      <w:r>
        <w:rPr>
          <w:rFonts w:hint="eastAsia" w:asciiTheme="minorEastAsia" w:hAnsiTheme="minorEastAsia" w:cstheme="minorEastAsia"/>
          <w:i w:val="0"/>
          <w:iCs w:val="0"/>
          <w:color w:val="auto"/>
          <w:sz w:val="28"/>
          <w:szCs w:val="28"/>
          <w:highlight w:val="none"/>
          <w:u w:val="none"/>
          <w:lang w:val="en-US" w:eastAsia="zh-CN"/>
        </w:rPr>
        <w:t>日</w:t>
      </w:r>
      <w:r>
        <w:rPr>
          <w:rFonts w:hint="eastAsia" w:asciiTheme="minorEastAsia" w:hAnsiTheme="minorEastAsia" w:cstheme="minorEastAsia"/>
          <w:i/>
          <w:iCs/>
          <w:color w:val="FF0000"/>
          <w:sz w:val="28"/>
          <w:szCs w:val="28"/>
          <w:highlight w:val="none"/>
          <w:u w:val="single"/>
          <w:lang w:val="en-US" w:eastAsia="zh-CN"/>
        </w:rPr>
        <w:t>15</w:t>
      </w:r>
      <w:r>
        <w:rPr>
          <w:rFonts w:hint="eastAsia" w:asciiTheme="minorEastAsia" w:hAnsiTheme="minorEastAsia" w:cstheme="minorEastAsia"/>
          <w:i w:val="0"/>
          <w:iCs w:val="0"/>
          <w:color w:val="auto"/>
          <w:sz w:val="28"/>
          <w:szCs w:val="28"/>
          <w:highlight w:val="none"/>
          <w:u w:val="none"/>
          <w:lang w:val="en-US" w:eastAsia="zh-CN"/>
        </w:rPr>
        <w:t>时</w:t>
      </w:r>
      <w:r>
        <w:rPr>
          <w:rFonts w:hint="eastAsia" w:asciiTheme="minorEastAsia" w:hAnsiTheme="minorEastAsia" w:cstheme="minorEastAsia"/>
          <w:i/>
          <w:iCs/>
          <w:color w:val="FF0000"/>
          <w:sz w:val="28"/>
          <w:szCs w:val="28"/>
          <w:highlight w:val="none"/>
          <w:u w:val="single"/>
          <w:lang w:val="en-US" w:eastAsia="zh-CN"/>
        </w:rPr>
        <w:t>00</w:t>
      </w:r>
      <w:r>
        <w:rPr>
          <w:rFonts w:hint="eastAsia" w:asciiTheme="minorEastAsia" w:hAnsiTheme="minorEastAsia" w:cstheme="minorEastAsia"/>
          <w:i w:val="0"/>
          <w:iCs w:val="0"/>
          <w:color w:val="auto"/>
          <w:sz w:val="28"/>
          <w:szCs w:val="28"/>
          <w:highlight w:val="none"/>
          <w:u w:val="none"/>
          <w:lang w:val="en-US" w:eastAsia="zh-CN"/>
        </w:rPr>
        <w:t>分（北京时间）；</w:t>
      </w:r>
      <w:permEnd w:id="19"/>
    </w:p>
    <w:p w14:paraId="5C3CB6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sz w:val="28"/>
          <w:szCs w:val="28"/>
          <w:highlight w:val="none"/>
          <w:lang w:val="en-US" w:eastAsia="zh-CN"/>
        </w:rPr>
        <w:t>响应文件递交</w:t>
      </w:r>
      <w:r>
        <w:rPr>
          <w:rFonts w:hint="eastAsia" w:asciiTheme="minorEastAsia" w:hAnsiTheme="minorEastAsia" w:eastAsiaTheme="minorEastAsia" w:cstheme="minorEastAsia"/>
          <w:i w:val="0"/>
          <w:iCs w:val="0"/>
          <w:color w:val="000000" w:themeColor="text1"/>
          <w:sz w:val="28"/>
          <w:szCs w:val="28"/>
          <w:highlight w:val="none"/>
          <w:lang w:val="en-US" w:eastAsia="zh-CN"/>
          <w14:textFill>
            <w14:solidFill>
              <w14:schemeClr w14:val="tx1"/>
            </w14:solidFill>
          </w14:textFill>
        </w:rPr>
        <w:t>地点</w:t>
      </w: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w:t>
      </w:r>
      <w:permStart w:id="20" w:edGrp="everyone"/>
      <w:r>
        <w:rPr>
          <w:rFonts w:hint="eastAsia" w:asciiTheme="minorEastAsia" w:hAnsiTheme="minorEastAsia" w:cstheme="minorEastAsia"/>
          <w:i w:val="0"/>
          <w:iCs w:val="0"/>
          <w:color w:val="FF0000"/>
          <w:sz w:val="28"/>
          <w:szCs w:val="28"/>
          <w:highlight w:val="none"/>
          <w:u w:val="single"/>
          <w:lang w:val="en-US" w:eastAsia="zh-CN"/>
        </w:rPr>
        <w:t>安徽省亳州市高新技术产业开发区神农大道与百合路交叉口亳州汽车南站广场西侧（安徽通康建设工程有限公司2楼开标室）</w:t>
      </w:r>
      <w:r>
        <w:rPr>
          <w:rFonts w:hint="eastAsia" w:asciiTheme="minorEastAsia" w:hAnsiTheme="minorEastAsia" w:cstheme="minorEastAsia"/>
          <w:i w:val="0"/>
          <w:iCs w:val="0"/>
          <w:sz w:val="28"/>
          <w:szCs w:val="28"/>
          <w:highlight w:val="none"/>
          <w:lang w:val="en-US" w:eastAsia="zh-CN"/>
        </w:rPr>
        <w:t>；</w:t>
      </w:r>
      <w:permEnd w:id="20"/>
    </w:p>
    <w:p w14:paraId="4896574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响应文件应由供应商的法定代表人（单位负责人）或其授权的代理人递交（允许邮寄的采购项目除外），</w:t>
      </w:r>
      <w:r>
        <w:rPr>
          <w:rFonts w:hint="eastAsia" w:asciiTheme="minorEastAsia" w:hAnsiTheme="minorEastAsia" w:eastAsiaTheme="minorEastAsia" w:cstheme="minorEastAsia"/>
          <w:sz w:val="28"/>
          <w:szCs w:val="28"/>
          <w:highlight w:val="none"/>
          <w:lang w:val="en-US" w:eastAsia="zh-CN"/>
        </w:rPr>
        <w:t>逾期送达的、未送达指定地点的或者不按照</w:t>
      </w:r>
      <w:r>
        <w:rPr>
          <w:rFonts w:hint="eastAsia" w:asciiTheme="minorEastAsia" w:hAnsiTheme="minorEastAsia" w:cstheme="minorEastAsia"/>
          <w:sz w:val="28"/>
          <w:szCs w:val="28"/>
          <w:highlight w:val="none"/>
          <w:lang w:val="en-US" w:eastAsia="zh-CN"/>
        </w:rPr>
        <w:t>询比</w:t>
      </w:r>
      <w:r>
        <w:rPr>
          <w:rFonts w:hint="eastAsia" w:asciiTheme="minorEastAsia" w:hAnsiTheme="minorEastAsia" w:eastAsiaTheme="minorEastAsia" w:cstheme="minorEastAsia"/>
          <w:sz w:val="28"/>
          <w:szCs w:val="28"/>
          <w:highlight w:val="none"/>
          <w:lang w:val="en-US" w:eastAsia="zh-CN"/>
        </w:rPr>
        <w:t>文件要求密封的</w:t>
      </w:r>
      <w:r>
        <w:rPr>
          <w:rFonts w:hint="eastAsia" w:asciiTheme="minorEastAsia" w:hAnsiTheme="minorEastAsia" w:cstheme="minorEastAsia"/>
          <w:sz w:val="28"/>
          <w:szCs w:val="28"/>
          <w:highlight w:val="none"/>
          <w:lang w:val="en-US" w:eastAsia="zh-CN"/>
        </w:rPr>
        <w:t>响应文件</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人将予以拒收</w:t>
      </w:r>
      <w:r>
        <w:rPr>
          <w:rFonts w:hint="eastAsia" w:asciiTheme="minorEastAsia" w:hAnsiTheme="minorEastAsia" w:cstheme="minorEastAsia"/>
          <w:sz w:val="28"/>
          <w:szCs w:val="28"/>
          <w:highlight w:val="none"/>
          <w:lang w:val="en-US" w:eastAsia="zh-CN"/>
        </w:rPr>
        <w:t>。</w:t>
      </w:r>
    </w:p>
    <w:p w14:paraId="688BDFC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（四）</w:t>
      </w:r>
      <w:permStart w:id="21" w:edGrp="everyone"/>
      <w:r>
        <w:rPr>
          <w:rFonts w:hint="default" w:asciiTheme="minorEastAsia" w:hAnsiTheme="minorEastAsia" w:eastAsiaTheme="minorEastAsia" w:cstheme="minorEastAsia"/>
          <w:sz w:val="28"/>
          <w:szCs w:val="28"/>
          <w:highlight w:val="none"/>
          <w:lang w:val="en-US" w:eastAsia="zh-CN"/>
        </w:rPr>
        <w:t>本次</w:t>
      </w:r>
      <w:r>
        <w:rPr>
          <w:rFonts w:hint="eastAsia" w:asciiTheme="minorEastAsia" w:hAnsiTheme="minorEastAsia" w:cstheme="minorEastAsia"/>
          <w:sz w:val="28"/>
          <w:szCs w:val="28"/>
          <w:highlight w:val="none"/>
          <w:lang w:val="en-US" w:eastAsia="zh-CN"/>
        </w:rPr>
        <w:t>采购活动</w:t>
      </w:r>
      <w:r>
        <w:rPr>
          <w:rFonts w:hint="default" w:asciiTheme="minorEastAsia" w:hAnsiTheme="minorEastAsia" w:eastAsiaTheme="minorEastAsia" w:cstheme="minorEastAsia"/>
          <w:color w:val="FF0000"/>
          <w:sz w:val="28"/>
          <w:szCs w:val="28"/>
          <w:highlight w:val="none"/>
          <w:u w:val="single"/>
          <w:lang w:val="en-US" w:eastAsia="zh-CN"/>
        </w:rPr>
        <w:t>允许</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以邮寄方式递交</w:t>
      </w:r>
      <w:r>
        <w:rPr>
          <w:rFonts w:hint="eastAsia" w:asciiTheme="minorEastAsia" w:hAnsiTheme="minorEastAsia" w:cstheme="minorEastAsia"/>
          <w:sz w:val="28"/>
          <w:szCs w:val="28"/>
          <w:highlight w:val="none"/>
          <w:lang w:val="en-US" w:eastAsia="zh-CN"/>
        </w:rPr>
        <w:t>响应文件。供应商</w:t>
      </w:r>
      <w:r>
        <w:rPr>
          <w:rFonts w:hint="default" w:asciiTheme="minorEastAsia" w:hAnsiTheme="minorEastAsia" w:eastAsiaTheme="minorEastAsia" w:cstheme="minorEastAsia"/>
          <w:sz w:val="28"/>
          <w:szCs w:val="28"/>
          <w:highlight w:val="none"/>
          <w:lang w:val="en-US" w:eastAsia="zh-CN"/>
        </w:rPr>
        <w:t>采用邮寄方式递交</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的，</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送达时间以</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平台签收快递时间为准</w:t>
      </w:r>
      <w:r>
        <w:rPr>
          <w:rFonts w:hint="eastAsia" w:asciiTheme="minorEastAsia" w:hAnsiTheme="minorEastAsia" w:cstheme="minorEastAsia"/>
          <w:sz w:val="28"/>
          <w:szCs w:val="28"/>
          <w:highlight w:val="none"/>
          <w:lang w:val="en-US" w:eastAsia="zh-CN"/>
        </w:rPr>
        <w:t>。</w:t>
      </w:r>
      <w:r>
        <w:rPr>
          <w:rFonts w:hint="default" w:asciiTheme="minorEastAsia" w:hAnsiTheme="minorEastAsia" w:eastAsiaTheme="minorEastAsia" w:cstheme="minorEastAsia"/>
          <w:sz w:val="28"/>
          <w:szCs w:val="28"/>
          <w:highlight w:val="none"/>
          <w:lang w:val="en-US" w:eastAsia="zh-CN"/>
        </w:rPr>
        <w:t>建议</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在邮寄前使用透明胶带对</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密封袋进行二次密封，如因</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密封袋在邮寄过程中发生破损，导致不符合</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文件密封要求而被</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平台拒收，其风险由</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自行承担</w:t>
      </w:r>
      <w:r>
        <w:rPr>
          <w:rFonts w:hint="eastAsia" w:asciiTheme="minorEastAsia" w:hAnsiTheme="minorEastAsia" w:cstheme="minorEastAsia"/>
          <w:sz w:val="28"/>
          <w:szCs w:val="28"/>
          <w:highlight w:val="none"/>
          <w:lang w:val="en-US" w:eastAsia="zh-CN"/>
        </w:rPr>
        <w:t>。供应商未派代表参加开启会议的，视为默认开启结果。</w:t>
      </w:r>
    </w:p>
    <w:p w14:paraId="0F77301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邮寄信息如下，供应商寄出响应文件后，应电话通知采购平台工作人员，以便采购平台工作人员及时签收响应文件。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7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D72570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color w:val="FF0000"/>
                <w:sz w:val="28"/>
                <w:szCs w:val="28"/>
                <w:highlight w:val="none"/>
                <w:u w:val="single"/>
                <w:lang w:val="en-US" w:eastAsia="zh-CN"/>
              </w:rPr>
            </w:pPr>
            <w:r>
              <w:rPr>
                <w:rFonts w:hint="eastAsia" w:asciiTheme="minorEastAsia" w:hAnsiTheme="minorEastAsia" w:cstheme="minorEastAsia"/>
                <w:color w:val="FF0000"/>
                <w:sz w:val="28"/>
                <w:szCs w:val="28"/>
                <w:highlight w:val="none"/>
                <w:u w:val="single"/>
                <w:lang w:val="en-US" w:eastAsia="zh-CN"/>
              </w:rPr>
              <w:t>邮寄地址：安徽省亳州市高新技术产业开发区神农大道与百合路交叉口亳州汽车南站广场西侧（安徽通康建设工程有限公司3楼法务部）；</w:t>
            </w:r>
          </w:p>
          <w:p w14:paraId="3D338CD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color w:val="FF0000"/>
                <w:sz w:val="28"/>
                <w:szCs w:val="28"/>
                <w:highlight w:val="none"/>
                <w:u w:val="single"/>
                <w:lang w:val="en-US" w:eastAsia="zh-CN"/>
              </w:rPr>
            </w:pPr>
            <w:r>
              <w:rPr>
                <w:rFonts w:hint="eastAsia" w:asciiTheme="minorEastAsia" w:hAnsiTheme="minorEastAsia" w:eastAsiaTheme="minorEastAsia" w:cstheme="minorEastAsia"/>
                <w:color w:val="FF0000"/>
                <w:sz w:val="28"/>
                <w:szCs w:val="28"/>
                <w:highlight w:val="none"/>
                <w:u w:val="single"/>
                <w:lang w:val="en-US" w:eastAsia="zh-CN"/>
              </w:rPr>
              <w:t>联系人：李工</w:t>
            </w:r>
            <w:r>
              <w:rPr>
                <w:rFonts w:hint="eastAsia" w:asciiTheme="minorEastAsia" w:hAnsiTheme="minorEastAsia" w:cstheme="minorEastAsia"/>
                <w:color w:val="FF0000"/>
                <w:sz w:val="28"/>
                <w:szCs w:val="28"/>
                <w:highlight w:val="none"/>
                <w:u w:val="single"/>
                <w:lang w:val="en-US" w:eastAsia="zh-CN"/>
              </w:rPr>
              <w:t>；</w:t>
            </w:r>
          </w:p>
          <w:p w14:paraId="379CF71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default" w:asciiTheme="minorEastAsia" w:hAnsiTheme="minorEastAsia" w:cstheme="minorEastAsia"/>
                <w:sz w:val="28"/>
                <w:szCs w:val="28"/>
                <w:highlight w:val="none"/>
                <w:vertAlign w:val="baseline"/>
                <w:lang w:val="en-US" w:eastAsia="zh-CN"/>
              </w:rPr>
            </w:pPr>
            <w:r>
              <w:rPr>
                <w:rFonts w:hint="eastAsia" w:asciiTheme="minorEastAsia" w:hAnsiTheme="minorEastAsia" w:cstheme="minorEastAsia"/>
                <w:color w:val="FF0000"/>
                <w:sz w:val="28"/>
                <w:szCs w:val="28"/>
                <w:highlight w:val="none"/>
                <w:u w:val="single"/>
                <w:lang w:val="en-US" w:eastAsia="zh-CN"/>
              </w:rPr>
              <w:t>联系</w:t>
            </w:r>
            <w:r>
              <w:rPr>
                <w:rFonts w:hint="eastAsia" w:asciiTheme="minorEastAsia" w:hAnsiTheme="minorEastAsia" w:eastAsiaTheme="minorEastAsia" w:cstheme="minorEastAsia"/>
                <w:color w:val="FF0000"/>
                <w:sz w:val="28"/>
                <w:szCs w:val="28"/>
                <w:highlight w:val="none"/>
                <w:u w:val="single"/>
                <w:lang w:val="en-US" w:eastAsia="zh-CN"/>
              </w:rPr>
              <w:t>电话：18906343943</w:t>
            </w:r>
            <w:r>
              <w:rPr>
                <w:rFonts w:hint="eastAsia" w:asciiTheme="minorEastAsia" w:hAnsiTheme="minorEastAsia" w:cstheme="minorEastAsia"/>
                <w:color w:val="FF0000"/>
                <w:sz w:val="28"/>
                <w:szCs w:val="28"/>
                <w:highlight w:val="none"/>
                <w:u w:val="single"/>
                <w:lang w:val="en-US" w:eastAsia="zh-CN"/>
              </w:rPr>
              <w:t>。</w:t>
            </w:r>
          </w:p>
        </w:tc>
      </w:tr>
      <w:permEnd w:id="21"/>
    </w:tbl>
    <w:p w14:paraId="56608AB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六、响应担保</w:t>
      </w:r>
    </w:p>
    <w:p w14:paraId="75BA98D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本项目</w:t>
      </w:r>
      <w:r>
        <w:rPr>
          <w:rFonts w:hint="eastAsia" w:asciiTheme="minorEastAsia" w:hAnsiTheme="minorEastAsia" w:cstheme="minorEastAsia"/>
          <w:sz w:val="28"/>
          <w:szCs w:val="28"/>
          <w:highlight w:val="none"/>
          <w:lang w:val="en-US" w:eastAsia="zh-CN"/>
        </w:rPr>
        <w:t>响应</w:t>
      </w:r>
      <w:r>
        <w:rPr>
          <w:rFonts w:hint="default" w:asciiTheme="minorEastAsia" w:hAnsiTheme="minorEastAsia" w:eastAsiaTheme="minorEastAsia" w:cstheme="minorEastAsia"/>
          <w:sz w:val="28"/>
          <w:szCs w:val="28"/>
          <w:highlight w:val="none"/>
          <w:lang w:val="en-US" w:eastAsia="zh-CN"/>
        </w:rPr>
        <w:t>保证金：</w:t>
      </w:r>
      <w:permStart w:id="22" w:edGrp="everyone"/>
      <w:r>
        <w:rPr>
          <w:rFonts w:hint="eastAsia" w:asciiTheme="minorEastAsia" w:hAnsiTheme="minorEastAsia" w:cstheme="minorEastAsia"/>
          <w:color w:val="FF0000"/>
          <w:sz w:val="28"/>
          <w:szCs w:val="28"/>
          <w:highlight w:val="none"/>
          <w:u w:val="single"/>
          <w:lang w:val="en-US" w:eastAsia="zh-CN"/>
        </w:rPr>
        <w:t>16000元</w:t>
      </w:r>
      <w:r>
        <w:rPr>
          <w:rFonts w:hint="default" w:asciiTheme="minorEastAsia" w:hAnsiTheme="minorEastAsia" w:eastAsiaTheme="minorEastAsia" w:cstheme="minorEastAsia"/>
          <w:color w:val="FF0000"/>
          <w:sz w:val="28"/>
          <w:szCs w:val="28"/>
          <w:highlight w:val="none"/>
          <w:lang w:val="en-US" w:eastAsia="zh-CN"/>
        </w:rPr>
        <w:t>（人民币）</w:t>
      </w:r>
      <w:permEnd w:id="22"/>
      <w:r>
        <w:rPr>
          <w:rFonts w:hint="default" w:asciiTheme="minorEastAsia" w:hAnsiTheme="minorEastAsia" w:eastAsiaTheme="minorEastAsia" w:cstheme="minorEastAsia"/>
          <w:sz w:val="28"/>
          <w:szCs w:val="28"/>
          <w:highlight w:val="none"/>
          <w:lang w:val="en-US" w:eastAsia="zh-CN"/>
        </w:rPr>
        <w:t>，缴纳方式详见</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w:t>
      </w:r>
    </w:p>
    <w:p w14:paraId="7BEDECF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七、联系方式</w:t>
      </w:r>
    </w:p>
    <w:p w14:paraId="56AA7A5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ermStart w:id="23" w:edGrp="everyone"/>
      <w:r>
        <w:rPr>
          <w:rFonts w:hint="eastAsia" w:asciiTheme="minorEastAsia" w:hAnsiTheme="minorEastAsia" w:cstheme="minorEastAsia"/>
          <w:sz w:val="28"/>
          <w:szCs w:val="28"/>
          <w:highlight w:val="none"/>
          <w:lang w:val="en-US" w:eastAsia="zh-CN"/>
        </w:rPr>
        <w:t>采</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cstheme="minorEastAsia"/>
          <w:sz w:val="28"/>
          <w:szCs w:val="28"/>
          <w:highlight w:val="none"/>
          <w:lang w:val="en-US" w:eastAsia="zh-CN"/>
        </w:rPr>
        <w:t>购</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人：安徽通康建设工程有限公司</w:t>
      </w:r>
    </w:p>
    <w:p w14:paraId="7AC82E8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地</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址：亳州市谯城区汽车南站西侧</w:t>
      </w:r>
      <w:r>
        <w:rPr>
          <w:rFonts w:hint="eastAsia" w:asciiTheme="minorEastAsia" w:hAnsiTheme="minorEastAsia" w:cstheme="minorEastAsia"/>
          <w:sz w:val="28"/>
          <w:szCs w:val="28"/>
          <w:highlight w:val="none"/>
          <w:lang w:val="en-US" w:eastAsia="zh-CN"/>
        </w:rPr>
        <w:t xml:space="preserve"> </w:t>
      </w:r>
    </w:p>
    <w:permEnd w:id="23"/>
    <w:p w14:paraId="241238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联</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系</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w:t>
      </w:r>
      <w:permStart w:id="24" w:edGrp="everyone"/>
      <w:r>
        <w:rPr>
          <w:rFonts w:hint="eastAsia" w:asciiTheme="minorEastAsia" w:hAnsiTheme="minorEastAsia" w:cstheme="minorEastAsia"/>
          <w:sz w:val="28"/>
          <w:szCs w:val="28"/>
          <w:highlight w:val="none"/>
          <w:lang w:val="en-US" w:eastAsia="zh-CN"/>
        </w:rPr>
        <w:t xml:space="preserve">刘经理 </w:t>
      </w:r>
      <w:permEnd w:id="24"/>
    </w:p>
    <w:p w14:paraId="69E1080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default" w:asciiTheme="minorEastAsia" w:hAnsiTheme="minorEastAsia" w:eastAsiaTheme="minorEastAsia" w:cstheme="minorEastAsia"/>
          <w:sz w:val="28"/>
          <w:szCs w:val="28"/>
          <w:highlight w:val="none"/>
          <w:lang w:val="en-US" w:eastAsia="zh-CN"/>
        </w:rPr>
        <w:t>：15212269052</w:t>
      </w:r>
    </w:p>
    <w:p w14:paraId="3F14B09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175DBB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平台：安徽通康建设工程有限公司</w:t>
      </w:r>
    </w:p>
    <w:p w14:paraId="5998C39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地    址：</w:t>
      </w:r>
      <w:r>
        <w:rPr>
          <w:rFonts w:hint="default" w:asciiTheme="minorEastAsia" w:hAnsiTheme="minorEastAsia" w:eastAsiaTheme="minorEastAsia" w:cstheme="minorEastAsia"/>
          <w:sz w:val="28"/>
          <w:szCs w:val="28"/>
          <w:highlight w:val="none"/>
          <w:lang w:val="en-US" w:eastAsia="zh-CN"/>
        </w:rPr>
        <w:t>亳州市谯城区汽车南站西侧三楼</w:t>
      </w:r>
      <w:r>
        <w:rPr>
          <w:rFonts w:hint="eastAsia" w:asciiTheme="minorEastAsia" w:hAnsiTheme="minorEastAsia" w:cstheme="minorEastAsia"/>
          <w:sz w:val="28"/>
          <w:szCs w:val="28"/>
          <w:highlight w:val="none"/>
          <w:lang w:val="en-US" w:eastAsia="zh-CN"/>
        </w:rPr>
        <w:t>法务部</w:t>
      </w:r>
    </w:p>
    <w:p w14:paraId="4C4C8AF0">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联 系 人：</w:t>
      </w:r>
      <w:r>
        <w:rPr>
          <w:rFonts w:hint="eastAsia" w:asciiTheme="minorEastAsia" w:hAnsiTheme="minorEastAsia" w:cstheme="minorEastAsia"/>
          <w:sz w:val="28"/>
          <w:szCs w:val="28"/>
          <w:highlight w:val="none"/>
          <w:lang w:val="en-US" w:eastAsia="zh-CN"/>
        </w:rPr>
        <w:t>李</w:t>
      </w:r>
      <w:r>
        <w:rPr>
          <w:rFonts w:hint="eastAsia" w:asciiTheme="minorEastAsia" w:hAnsiTheme="minorEastAsia" w:eastAsiaTheme="minorEastAsia" w:cstheme="minorEastAsia"/>
          <w:sz w:val="28"/>
          <w:szCs w:val="28"/>
          <w:highlight w:val="none"/>
          <w:lang w:val="en-US" w:eastAsia="zh-CN"/>
        </w:rPr>
        <w:t>工</w:t>
      </w:r>
    </w:p>
    <w:p w14:paraId="7D53F81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eastAsia" w:asciiTheme="minorEastAsia" w:hAnsiTheme="minorEastAsia" w:cstheme="minorEastAsia"/>
          <w:sz w:val="28"/>
          <w:szCs w:val="28"/>
          <w:highlight w:val="none"/>
          <w:lang w:val="en-US" w:eastAsia="zh-CN"/>
        </w:rPr>
        <w:t>18906343943（工作日8:00-12:00，14:30-17:30）</w:t>
      </w:r>
    </w:p>
    <w:p w14:paraId="76B64DB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4C40A2C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highlight w:val="none"/>
          <w:lang w:val="en-US" w:eastAsia="zh-CN"/>
        </w:rPr>
      </w:pPr>
    </w:p>
    <w:p w14:paraId="0418CF0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color w:val="FF0000"/>
          <w:sz w:val="28"/>
          <w:szCs w:val="28"/>
          <w:highlight w:val="none"/>
          <w:lang w:val="en-US" w:eastAsia="zh-CN"/>
        </w:rPr>
        <w:t xml:space="preserve"> </w:t>
      </w:r>
      <w:permStart w:id="25" w:edGrp="everyone"/>
      <w:r>
        <w:rPr>
          <w:rFonts w:hint="eastAsia" w:asciiTheme="minorEastAsia" w:hAnsiTheme="minorEastAsia" w:eastAsiaTheme="minorEastAsia" w:cstheme="minorEastAsia"/>
          <w:color w:val="FF0000"/>
          <w:sz w:val="28"/>
          <w:szCs w:val="28"/>
          <w:highlight w:val="none"/>
          <w:lang w:val="en-US" w:eastAsia="zh-CN"/>
        </w:rPr>
        <w:t>安徽通康建设工程有限公司</w:t>
      </w:r>
    </w:p>
    <w:p w14:paraId="007AF3BE">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cstheme="minorEastAsia"/>
          <w:color w:val="FF0000"/>
          <w:sz w:val="28"/>
          <w:szCs w:val="28"/>
          <w:highlight w:val="none"/>
          <w:lang w:val="en-US" w:eastAsia="zh-CN"/>
        </w:rPr>
        <w:t>2026</w:t>
      </w:r>
      <w:r>
        <w:rPr>
          <w:rFonts w:hint="eastAsia" w:asciiTheme="minorEastAsia" w:hAnsiTheme="minorEastAsia" w:eastAsiaTheme="minorEastAsia" w:cstheme="minorEastAsia"/>
          <w:color w:val="FF0000"/>
          <w:sz w:val="28"/>
          <w:szCs w:val="28"/>
          <w:highlight w:val="none"/>
          <w:lang w:val="en-US" w:eastAsia="zh-CN"/>
        </w:rPr>
        <w:t>年</w:t>
      </w:r>
      <w:r>
        <w:rPr>
          <w:rFonts w:hint="eastAsia" w:asciiTheme="minorEastAsia" w:hAnsiTheme="minorEastAsia" w:cstheme="minorEastAsia"/>
          <w:color w:val="FF0000"/>
          <w:sz w:val="28"/>
          <w:szCs w:val="28"/>
          <w:highlight w:val="none"/>
          <w:lang w:val="en-US" w:eastAsia="zh-CN"/>
        </w:rPr>
        <w:t>5</w:t>
      </w:r>
      <w:r>
        <w:rPr>
          <w:rFonts w:hint="eastAsia" w:asciiTheme="minorEastAsia" w:hAnsiTheme="minorEastAsia" w:eastAsiaTheme="minorEastAsia" w:cstheme="minorEastAsia"/>
          <w:color w:val="FF0000"/>
          <w:sz w:val="28"/>
          <w:szCs w:val="28"/>
          <w:highlight w:val="none"/>
          <w:lang w:val="en-US" w:eastAsia="zh-CN"/>
        </w:rPr>
        <w:t>月</w:t>
      </w:r>
      <w:r>
        <w:rPr>
          <w:rFonts w:hint="eastAsia" w:asciiTheme="minorEastAsia" w:hAnsiTheme="minorEastAsia" w:cstheme="minorEastAsia"/>
          <w:color w:val="FF0000"/>
          <w:sz w:val="28"/>
          <w:szCs w:val="28"/>
          <w:highlight w:val="none"/>
          <w:lang w:val="en-US" w:eastAsia="zh-CN"/>
        </w:rPr>
        <w:t>6</w:t>
      </w:r>
      <w:r>
        <w:rPr>
          <w:rFonts w:hint="eastAsia" w:asciiTheme="minorEastAsia" w:hAnsiTheme="minorEastAsia" w:eastAsiaTheme="minorEastAsia" w:cstheme="minorEastAsia"/>
          <w:color w:val="FF0000"/>
          <w:sz w:val="28"/>
          <w:szCs w:val="28"/>
          <w:highlight w:val="none"/>
          <w:lang w:val="en-US" w:eastAsia="zh-CN"/>
        </w:rPr>
        <w:t>日</w:t>
      </w:r>
    </w:p>
    <w:permEnd w:id="25"/>
    <w:p w14:paraId="066A0CD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7348D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第二章 </w:t>
      </w:r>
      <w:r>
        <w:rPr>
          <w:rFonts w:hint="eastAsia" w:asciiTheme="majorEastAsia" w:hAnsiTheme="majorEastAsia" w:eastAsiaTheme="majorEastAsia" w:cstheme="majorEastAsia"/>
          <w:b/>
          <w:bCs/>
          <w:sz w:val="32"/>
          <w:szCs w:val="32"/>
          <w:highlight w:val="none"/>
          <w:lang w:val="en-US" w:eastAsia="zh-CN"/>
        </w:rPr>
        <w:t>供应商</w:t>
      </w:r>
      <w:r>
        <w:rPr>
          <w:rFonts w:hint="default" w:asciiTheme="majorEastAsia" w:hAnsiTheme="majorEastAsia" w:eastAsiaTheme="majorEastAsia" w:cstheme="majorEastAsia"/>
          <w:b/>
          <w:bCs/>
          <w:sz w:val="32"/>
          <w:szCs w:val="32"/>
          <w:highlight w:val="none"/>
          <w:lang w:val="en-US" w:eastAsia="zh-CN"/>
        </w:rPr>
        <w:t>须知</w:t>
      </w:r>
    </w:p>
    <w:p w14:paraId="181A299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p w14:paraId="3CF53DE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t>供应商须知前附表</w:t>
      </w:r>
    </w:p>
    <w:p w14:paraId="1DB262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2753"/>
        <w:gridCol w:w="4761"/>
      </w:tblGrid>
      <w:tr w14:paraId="2EC8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DF4385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55E79E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名  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73CC8B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编  列  内  容</w:t>
            </w:r>
          </w:p>
        </w:tc>
      </w:tr>
      <w:tr w14:paraId="1A6B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B5326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CCAF21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ED5D5D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询比采购</w:t>
            </w:r>
          </w:p>
        </w:tc>
      </w:tr>
      <w:tr w14:paraId="705F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C22A39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F98B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供应商资格要求</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4D67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6F3C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02218B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710C1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eastAsia="zh-CN"/>
              </w:rPr>
            </w:pPr>
            <w:r>
              <w:rPr>
                <w:rFonts w:hint="eastAsia" w:ascii="Times New Roman" w:hAnsi="Times New Roman" w:cs="Times New Roman"/>
                <w:szCs w:val="21"/>
                <w:highlight w:val="none"/>
                <w:lang w:eastAsia="zh-CN"/>
              </w:rPr>
              <w:t>采购人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A862EC">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295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11A420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5992CFF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项目名称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2BE8A50">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E3C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EFB00F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7DEC8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供应商资格要求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A248B0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0F02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709E1A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permStart w:id="26" w:edGrp="everyone" w:colFirst="2" w:colLast="2"/>
            <w:r>
              <w:rPr>
                <w:rFonts w:hint="eastAsia" w:ascii="Times New Roman" w:hAnsi="Times New Roman" w:cs="Times New Roman"/>
                <w:szCs w:val="21"/>
                <w:highlight w:val="none"/>
                <w:lang w:val="en-US" w:eastAsia="zh-CN"/>
              </w:rPr>
              <w:t>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F8BEED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踏勘</w:t>
            </w:r>
            <w:r>
              <w:rPr>
                <w:rFonts w:hint="eastAsia" w:ascii="Times New Roman" w:hAnsi="Times New Roman" w:cs="Times New Roman"/>
                <w:szCs w:val="21"/>
                <w:highlight w:val="none"/>
                <w:lang w:val="en-US" w:eastAsia="zh-CN"/>
              </w:rPr>
              <w:t>现场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07C851">
            <w:pPr>
              <w:pStyle w:val="6"/>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FF0000"/>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不组织</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自行踏勘现场</w:t>
            </w:r>
          </w:p>
          <w:p w14:paraId="7C6C018A">
            <w:pPr>
              <w:pStyle w:val="6"/>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default" w:ascii="Times New Roman" w:hAnsi="Times New Roman" w:cs="Times New Roman"/>
                <w:color w:val="FF0000"/>
                <w:sz w:val="21"/>
                <w:szCs w:val="21"/>
                <w:highlight w:val="none"/>
              </w:rPr>
              <w:t>组织</w:t>
            </w:r>
            <w:r>
              <w:rPr>
                <w:rFonts w:hint="eastAsia" w:ascii="Times New Roman" w:hAnsi="Times New Roman" w:cs="Times New Roman"/>
                <w:color w:val="FF0000"/>
                <w:sz w:val="21"/>
                <w:szCs w:val="21"/>
                <w:highlight w:val="none"/>
                <w:lang w:val="en-US" w:eastAsia="zh-CN"/>
              </w:rPr>
              <w:t xml:space="preserve">   </w:t>
            </w:r>
          </w:p>
        </w:tc>
      </w:tr>
      <w:permEnd w:id="26"/>
      <w:tr w14:paraId="057F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DAE172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5ED9F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分包</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9A5D5C1">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eastAsiaTheme="minorEastAsia"/>
                <w:color w:val="FF0000"/>
                <w:sz w:val="21"/>
                <w:szCs w:val="21"/>
                <w:highlight w:val="none"/>
                <w:lang w:val="en-US" w:eastAsia="zh-CN"/>
              </w:rPr>
            </w:pPr>
            <w:permStart w:id="27" w:edGrp="everyone"/>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w:t>
            </w:r>
            <w:r>
              <w:rPr>
                <w:rFonts w:hint="eastAsia" w:ascii="Times New Roman" w:hAnsi="Times New Roman" w:cs="Times New Roman"/>
                <w:color w:val="FF0000"/>
                <w:sz w:val="21"/>
                <w:szCs w:val="21"/>
                <w:highlight w:val="none"/>
                <w:lang w:val="en-US" w:eastAsia="zh-CN"/>
              </w:rPr>
              <w:t>允许</w:t>
            </w:r>
          </w:p>
          <w:p w14:paraId="6890B3F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cs="Times New Roman"/>
                <w:color w:val="FF0000"/>
                <w:sz w:val="21"/>
                <w:szCs w:val="21"/>
                <w:highlight w:val="none"/>
                <w:lang w:val="en-US" w:eastAsia="zh-CN"/>
              </w:rPr>
              <w:t>允许</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分包要求：</w:t>
            </w:r>
            <w:permEnd w:id="27"/>
          </w:p>
        </w:tc>
      </w:tr>
      <w:tr w14:paraId="4D40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75245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r>
              <w:rPr>
                <w:rFonts w:hint="eastAsia" w:ascii="Times New Roman" w:hAnsi="Times New Roman" w:cs="Times New Roman"/>
                <w:szCs w:val="21"/>
                <w:highlight w:val="none"/>
                <w:lang w:val="en-US" w:eastAsia="zh-CN"/>
              </w:rPr>
              <w:t>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6AD7E3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5E76C8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发出的澄清、修改及补充文件等。</w:t>
            </w:r>
          </w:p>
        </w:tc>
      </w:tr>
      <w:tr w14:paraId="71CA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1008" w:type="dxa"/>
            <w:tcBorders>
              <w:top w:val="single" w:color="auto" w:sz="4" w:space="0"/>
              <w:left w:val="single" w:color="auto" w:sz="4" w:space="0"/>
              <w:right w:val="single" w:color="auto" w:sz="4" w:space="0"/>
            </w:tcBorders>
            <w:noWrap w:val="0"/>
            <w:vAlign w:val="center"/>
          </w:tcPr>
          <w:p w14:paraId="7C76931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9</w:t>
            </w:r>
          </w:p>
        </w:tc>
        <w:tc>
          <w:tcPr>
            <w:tcW w:w="2753" w:type="dxa"/>
            <w:tcBorders>
              <w:top w:val="single" w:color="auto" w:sz="4" w:space="0"/>
              <w:left w:val="single" w:color="auto" w:sz="4" w:space="0"/>
              <w:right w:val="single" w:color="auto" w:sz="4" w:space="0"/>
            </w:tcBorders>
            <w:noWrap w:val="0"/>
            <w:vAlign w:val="center"/>
          </w:tcPr>
          <w:p w14:paraId="3DD47E0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eastAsia="zh-CN"/>
              </w:rPr>
              <w:t>供应商提出问题的截止时间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184D797">
            <w:pPr>
              <w:keepNext w:val="0"/>
              <w:keepLines w:val="0"/>
              <w:pageBreakBefore w:val="0"/>
              <w:widowControl w:val="0"/>
              <w:tabs>
                <w:tab w:val="left" w:pos="1445"/>
              </w:tabs>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permStart w:id="28" w:edGrp="everyone"/>
            <w:r>
              <w:rPr>
                <w:rFonts w:hint="eastAsia" w:ascii="Times New Roman" w:hAnsi="Times New Roman" w:cs="Times New Roman"/>
                <w:b/>
                <w:bCs/>
                <w:color w:val="FF0000"/>
                <w:szCs w:val="21"/>
                <w:highlight w:val="none"/>
                <w:u w:val="single"/>
                <w:lang w:val="en-US" w:eastAsia="zh-CN"/>
              </w:rPr>
              <w:t>2026</w:t>
            </w:r>
            <w:r>
              <w:rPr>
                <w:rFonts w:hint="eastAsia" w:ascii="Times New Roman" w:hAnsi="Times New Roman" w:cs="Times New Roman"/>
                <w:b/>
                <w:bCs/>
                <w:color w:val="FF0000"/>
                <w:szCs w:val="21"/>
                <w:highlight w:val="none"/>
                <w:u w:val="none"/>
                <w:lang w:val="en-US" w:eastAsia="zh-CN"/>
              </w:rPr>
              <w:t>年</w:t>
            </w:r>
            <w:r>
              <w:rPr>
                <w:rFonts w:hint="eastAsia" w:ascii="Times New Roman" w:hAnsi="Times New Roman" w:cs="Times New Roman"/>
                <w:b/>
                <w:bCs/>
                <w:color w:val="FF0000"/>
                <w:szCs w:val="21"/>
                <w:highlight w:val="none"/>
                <w:u w:val="single"/>
                <w:lang w:val="en-US" w:eastAsia="zh-CN"/>
              </w:rPr>
              <w:t>5</w:t>
            </w:r>
            <w:r>
              <w:rPr>
                <w:rFonts w:hint="eastAsia" w:ascii="Times New Roman" w:hAnsi="Times New Roman" w:cs="Times New Roman"/>
                <w:b/>
                <w:bCs/>
                <w:color w:val="FF0000"/>
                <w:szCs w:val="21"/>
                <w:highlight w:val="none"/>
                <w:u w:val="none"/>
                <w:lang w:val="en-US" w:eastAsia="zh-CN"/>
              </w:rPr>
              <w:t>月</w:t>
            </w:r>
            <w:r>
              <w:rPr>
                <w:rFonts w:hint="eastAsia" w:ascii="Times New Roman" w:hAnsi="Times New Roman" w:cs="Times New Roman"/>
                <w:b/>
                <w:bCs/>
                <w:color w:val="FF0000"/>
                <w:szCs w:val="21"/>
                <w:highlight w:val="none"/>
                <w:u w:val="single"/>
                <w:lang w:val="en-US" w:eastAsia="zh-CN"/>
              </w:rPr>
              <w:t>12</w:t>
            </w:r>
            <w:r>
              <w:rPr>
                <w:rFonts w:hint="eastAsia" w:ascii="Times New Roman" w:hAnsi="Times New Roman" w:cs="Times New Roman"/>
                <w:b/>
                <w:bCs/>
                <w:color w:val="FF0000"/>
                <w:szCs w:val="21"/>
                <w:highlight w:val="none"/>
                <w:u w:val="none"/>
                <w:lang w:val="en-US" w:eastAsia="zh-CN"/>
              </w:rPr>
              <w:t>日前</w:t>
            </w:r>
            <w:permEnd w:id="28"/>
            <w:r>
              <w:rPr>
                <w:rFonts w:hint="eastAsia" w:ascii="Times New Roman" w:hAnsi="Times New Roman" w:cs="Times New Roman"/>
                <w:szCs w:val="21"/>
                <w:highlight w:val="none"/>
                <w:u w:val="none"/>
                <w:lang w:val="en-US" w:eastAsia="zh-CN"/>
              </w:rPr>
              <w:t>，供应商应仔细阅读和检查询比文件的全部内容。如发现缺页或附件不全，应及时向采购人提出，以便补齐。供应商如对询比文件有任何疑问，应及时与采购人联系，递交纸质材料，要求采购人对询比文件予以澄清。否则，供应商无权再因询比文件等与本次询比活动有关的资料而提出质疑、投诉。</w:t>
            </w:r>
          </w:p>
        </w:tc>
      </w:tr>
      <w:tr w14:paraId="081C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E7726B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6036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采购人澄清的时间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E080FC6">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29" w:edGrp="everyone"/>
            <w:r>
              <w:rPr>
                <w:rFonts w:hint="eastAsia" w:ascii="Times New Roman" w:hAnsi="Times New Roman" w:cs="Times New Roman"/>
                <w:color w:val="FF0000"/>
                <w:szCs w:val="21"/>
                <w:highlight w:val="none"/>
                <w:u w:val="none"/>
                <w:lang w:val="en-US" w:eastAsia="zh-CN"/>
              </w:rPr>
              <w:t>响应文件开启</w:t>
            </w:r>
            <w:r>
              <w:rPr>
                <w:rFonts w:hint="default" w:ascii="Times New Roman" w:hAnsi="Times New Roman" w:cs="Times New Roman"/>
                <w:color w:val="FF0000"/>
                <w:szCs w:val="21"/>
                <w:highlight w:val="none"/>
                <w:u w:val="none"/>
                <w:lang w:val="en-US" w:eastAsia="zh-CN"/>
              </w:rPr>
              <w:t>截止时间前，</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文件的澄清、修改、补充等将</w:t>
            </w:r>
            <w:r>
              <w:rPr>
                <w:rFonts w:hint="eastAsia" w:ascii="Times New Roman" w:hAnsi="Times New Roman" w:cs="Times New Roman"/>
                <w:color w:val="FF0000"/>
                <w:szCs w:val="21"/>
                <w:highlight w:val="none"/>
                <w:u w:val="none"/>
                <w:lang w:val="en-US" w:eastAsia="zh-CN"/>
              </w:rPr>
              <w:t>由采购人或采购代理平台按照采购文件发布途径统一发出</w:t>
            </w:r>
            <w:r>
              <w:rPr>
                <w:rFonts w:hint="default" w:ascii="Times New Roman" w:hAnsi="Times New Roman" w:cs="Times New Roman"/>
                <w:color w:val="FF0000"/>
                <w:szCs w:val="21"/>
                <w:highlight w:val="none"/>
                <w:u w:val="none"/>
                <w:lang w:val="en-US" w:eastAsia="zh-CN"/>
              </w:rPr>
              <w:t>。</w:t>
            </w:r>
            <w:permEnd w:id="29"/>
          </w:p>
        </w:tc>
      </w:tr>
      <w:tr w14:paraId="15A3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right w:val="single" w:color="auto" w:sz="4" w:space="0"/>
            </w:tcBorders>
            <w:noWrap w:val="0"/>
            <w:vAlign w:val="center"/>
          </w:tcPr>
          <w:p w14:paraId="757CEA6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11</w:t>
            </w:r>
          </w:p>
        </w:tc>
        <w:tc>
          <w:tcPr>
            <w:tcW w:w="2753" w:type="dxa"/>
            <w:tcBorders>
              <w:top w:val="single" w:color="auto" w:sz="4" w:space="0"/>
              <w:left w:val="single" w:color="auto" w:sz="4" w:space="0"/>
              <w:right w:val="single" w:color="auto" w:sz="4" w:space="0"/>
            </w:tcBorders>
            <w:noWrap w:val="0"/>
            <w:vAlign w:val="center"/>
          </w:tcPr>
          <w:p w14:paraId="7F06E3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供应商确认收到询比文件澄清时间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9E04383">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30" w:edGrp="everyone"/>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w:t>
            </w:r>
            <w:r>
              <w:rPr>
                <w:rFonts w:hint="eastAsia" w:ascii="Times New Roman" w:hAnsi="Times New Roman" w:cs="Times New Roman"/>
                <w:color w:val="FF0000"/>
                <w:szCs w:val="21"/>
                <w:highlight w:val="none"/>
                <w:u w:val="none"/>
                <w:lang w:val="en-US" w:eastAsia="zh-CN"/>
              </w:rPr>
              <w:t>在采购人或采购代理平台发出的时间</w:t>
            </w:r>
            <w:r>
              <w:rPr>
                <w:rFonts w:hint="default" w:ascii="Times New Roman" w:hAnsi="Times New Roman" w:cs="Times New Roman"/>
                <w:color w:val="FF0000"/>
                <w:szCs w:val="21"/>
                <w:highlight w:val="none"/>
                <w:u w:val="none"/>
                <w:lang w:val="en-US" w:eastAsia="zh-CN"/>
              </w:rPr>
              <w:t>，视为</w:t>
            </w:r>
            <w:r>
              <w:rPr>
                <w:rFonts w:hint="eastAsia" w:ascii="Times New Roman" w:hAnsi="Times New Roman" w:cs="Times New Roman"/>
                <w:color w:val="FF0000"/>
                <w:szCs w:val="21"/>
                <w:highlight w:val="none"/>
                <w:u w:val="none"/>
                <w:lang w:val="en-US" w:eastAsia="zh-CN"/>
              </w:rPr>
              <w:t>供应商</w:t>
            </w:r>
            <w:r>
              <w:rPr>
                <w:rFonts w:hint="default" w:ascii="Times New Roman" w:hAnsi="Times New Roman" w:cs="Times New Roman"/>
                <w:color w:val="FF0000"/>
                <w:szCs w:val="21"/>
                <w:highlight w:val="none"/>
                <w:u w:val="none"/>
                <w:lang w:val="en-US" w:eastAsia="zh-CN"/>
              </w:rPr>
              <w:t>确认收到</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文件澄清的时间。</w:t>
            </w:r>
            <w:permEnd w:id="30"/>
          </w:p>
        </w:tc>
      </w:tr>
      <w:tr w14:paraId="562B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43BF5C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12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2B9A9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4B81A1E2">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的书面澄清、说明和补正（但不得改变</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的实质性内容）。</w:t>
            </w:r>
          </w:p>
        </w:tc>
      </w:tr>
      <w:tr w14:paraId="2238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6E6FE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13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25ED91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增值税税金的计算方法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1D8EE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响应报价应包括国家规定的增值税税金，增值税税金按一般计税方法计算。</w:t>
            </w:r>
          </w:p>
        </w:tc>
      </w:tr>
      <w:tr w14:paraId="4FEB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27BFF90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4A3CF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最高限价或其计算方法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10D8B7C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详见第一章</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p>
        </w:tc>
      </w:tr>
      <w:tr w14:paraId="1087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CF0D1D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7EC1FF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响应文件有效期</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CAA56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截止之日起</w:t>
            </w:r>
            <w:r>
              <w:rPr>
                <w:rFonts w:hint="eastAsia" w:ascii="Times New Roman" w:hAnsi="Times New Roman" w:cs="Times New Roman"/>
                <w:szCs w:val="21"/>
                <w:highlight w:val="none"/>
                <w:u w:val="single"/>
                <w:lang w:val="en-US" w:eastAsia="zh-CN"/>
              </w:rPr>
              <w:t>90</w:t>
            </w:r>
            <w:r>
              <w:rPr>
                <w:rFonts w:hint="default" w:ascii="Times New Roman" w:hAnsi="Times New Roman" w:cs="Times New Roman"/>
                <w:szCs w:val="21"/>
                <w:highlight w:val="none"/>
              </w:rPr>
              <w:t>天</w:t>
            </w:r>
          </w:p>
        </w:tc>
      </w:tr>
      <w:tr w14:paraId="1A7C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34E9B2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19287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响应保证金</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08055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是否要求</w:t>
            </w:r>
            <w:r>
              <w:rPr>
                <w:rFonts w:hint="default" w:ascii="Times New Roman" w:hAnsi="Times New Roman" w:cs="Times New Roman"/>
                <w:szCs w:val="21"/>
                <w:highlight w:val="none"/>
              </w:rPr>
              <w:t>递交</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保证金</w:t>
            </w:r>
          </w:p>
          <w:p w14:paraId="391850CF">
            <w:pPr>
              <w:autoSpaceDE w:val="0"/>
              <w:autoSpaceDN w:val="0"/>
              <w:adjustRightInd w:val="0"/>
              <w:snapToGrid w:val="0"/>
              <w:spacing w:line="440" w:lineRule="exact"/>
              <w:ind w:firstLine="310" w:firstLineChars="147"/>
              <w:jc w:val="left"/>
              <w:rPr>
                <w:rFonts w:hint="eastAsia" w:ascii="Times New Roman" w:hAnsi="Times New Roman" w:cs="Times New Roman" w:eastAsiaTheme="minorEastAsia"/>
                <w:color w:val="FF0000"/>
                <w:szCs w:val="21"/>
                <w:highlight w:val="none"/>
                <w:lang w:eastAsia="zh-CN"/>
              </w:rPr>
            </w:pPr>
            <w:permStart w:id="31" w:edGrp="everyone"/>
            <w:r>
              <w:rPr>
                <w:rFonts w:hint="eastAsia" w:hAnsi="宋体"/>
                <w:b/>
                <w:bCs/>
                <w:color w:val="FF0000"/>
                <w:szCs w:val="21"/>
              </w:rPr>
              <w:t>不需要</w:t>
            </w:r>
            <w:r>
              <w:rPr>
                <w:rFonts w:hint="eastAsia" w:hAnsi="宋体"/>
                <w:b/>
                <w:bCs/>
                <w:color w:val="FF0000"/>
                <w:szCs w:val="21"/>
              </w:rPr>
              <w:sym w:font="Wingdings 2" w:char="00A3"/>
            </w:r>
            <w:r>
              <w:rPr>
                <w:rFonts w:hint="eastAsia" w:hAnsi="宋体"/>
                <w:b/>
                <w:bCs/>
                <w:color w:val="FF0000"/>
                <w:szCs w:val="21"/>
                <w:lang w:val="en-US" w:eastAsia="zh-CN"/>
              </w:rPr>
              <w:t xml:space="preserve">       </w:t>
            </w:r>
            <w:r>
              <w:rPr>
                <w:rFonts w:hint="eastAsia" w:hAnsi="宋体"/>
                <w:b/>
                <w:bCs/>
                <w:color w:val="FF0000"/>
                <w:szCs w:val="21"/>
              </w:rPr>
              <w:t>需 要</w:t>
            </w:r>
            <w:r>
              <w:rPr>
                <w:rFonts w:hint="eastAsia" w:hAnsi="宋体"/>
                <w:b/>
                <w:bCs/>
                <w:color w:val="FF0000"/>
                <w:szCs w:val="21"/>
                <w:lang w:eastAsia="zh-CN"/>
              </w:rPr>
              <w:t>☑</w:t>
            </w:r>
          </w:p>
          <w:p w14:paraId="031A49C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permEnd w:id="31"/>
            <w:r>
              <w:rPr>
                <w:rFonts w:hint="default" w:ascii="Times New Roman" w:hAnsi="Times New Roman" w:cs="Times New Roman"/>
                <w:szCs w:val="21"/>
                <w:highlight w:val="none"/>
              </w:rPr>
              <w:t>的形式：</w:t>
            </w:r>
            <w:permStart w:id="32" w:edGrp="everyone"/>
            <w:r>
              <w:rPr>
                <w:rFonts w:hint="default" w:ascii="Times New Roman" w:hAnsi="Times New Roman" w:cs="Times New Roman"/>
                <w:b/>
                <w:bCs/>
                <w:color w:val="FF0000"/>
                <w:szCs w:val="21"/>
                <w:highlight w:val="none"/>
              </w:rPr>
              <w:t>银行汇款或转账</w:t>
            </w:r>
            <w:permEnd w:id="32"/>
          </w:p>
          <w:p w14:paraId="3CB1DDEF">
            <w:pPr>
              <w:keepNext w:val="0"/>
              <w:keepLines w:val="0"/>
              <w:pageBreakBefore w:val="0"/>
              <w:widowControl w:val="0"/>
              <w:kinsoku/>
              <w:wordWrap w:val="0"/>
              <w:overflowPunct/>
              <w:topLinePunct w:val="0"/>
              <w:autoSpaceDE/>
              <w:autoSpaceDN/>
              <w:bidi w:val="0"/>
              <w:adjustRightInd/>
              <w:snapToGrid/>
              <w:spacing w:line="430" w:lineRule="exact"/>
              <w:ind w:left="210" w:hanging="211" w:hangingChars="100"/>
              <w:jc w:val="both"/>
              <w:textAlignment w:val="auto"/>
              <w:rPr>
                <w:rFonts w:hint="default" w:ascii="Times New Roman" w:hAnsi="Times New Roman" w:cs="Times New Roman"/>
                <w:szCs w:val="21"/>
                <w:highlight w:val="none"/>
              </w:rPr>
            </w:pPr>
            <w:r>
              <w:rPr>
                <w:rFonts w:hint="eastAsia" w:ascii="Times New Roman" w:hAnsi="Times New Roman" w:cs="Times New Roman"/>
                <w:b/>
                <w:bCs/>
                <w:color w:val="FF0000"/>
                <w:szCs w:val="21"/>
                <w:highlight w:val="none"/>
                <w:lang w:eastAsia="zh-CN"/>
              </w:rPr>
              <w:t>响应保证金</w:t>
            </w:r>
            <w:r>
              <w:rPr>
                <w:rFonts w:hint="default" w:ascii="Times New Roman" w:hAnsi="Times New Roman" w:cs="Times New Roman"/>
                <w:b/>
                <w:bCs/>
                <w:color w:val="FF0000"/>
                <w:szCs w:val="21"/>
                <w:highlight w:val="none"/>
              </w:rPr>
              <w:t>的金额：</w:t>
            </w:r>
            <w:permStart w:id="33" w:edGrp="everyone"/>
            <w:r>
              <w:rPr>
                <w:rFonts w:hint="eastAsia" w:ascii="Times New Roman" w:hAnsi="Times New Roman" w:cs="Times New Roman"/>
                <w:b/>
                <w:bCs/>
                <w:color w:val="FF0000"/>
                <w:szCs w:val="21"/>
                <w:highlight w:val="none"/>
                <w:u w:val="single"/>
                <w:lang w:val="en-US" w:eastAsia="zh-CN"/>
              </w:rPr>
              <w:t xml:space="preserve"> 16000元  </w:t>
            </w:r>
            <w:permEnd w:id="33"/>
          </w:p>
          <w:p w14:paraId="483C3E0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收取</w:t>
            </w:r>
            <w:r>
              <w:rPr>
                <w:rFonts w:hint="eastAsia" w:ascii="Times New Roman" w:hAnsi="Times New Roman" w:cs="Times New Roman"/>
                <w:b/>
                <w:bCs/>
                <w:szCs w:val="21"/>
                <w:highlight w:val="none"/>
                <w:lang w:eastAsia="zh-CN"/>
              </w:rPr>
              <w:t>响应保证金</w:t>
            </w:r>
            <w:r>
              <w:rPr>
                <w:rFonts w:hint="default" w:ascii="Times New Roman" w:hAnsi="Times New Roman" w:cs="Times New Roman"/>
                <w:b/>
                <w:bCs/>
                <w:szCs w:val="21"/>
                <w:highlight w:val="none"/>
              </w:rPr>
              <w:t>的账号信息：</w:t>
            </w:r>
          </w:p>
          <w:p w14:paraId="252F1CB0">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开户名称：安徽通康建设工程有限公司</w:t>
            </w:r>
          </w:p>
          <w:p w14:paraId="751BB972">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开户银行：交通银行亳州分行营业部</w:t>
            </w:r>
          </w:p>
          <w:p w14:paraId="33F89F1E">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eastAsiaTheme="minorEastAsia"/>
                <w:szCs w:val="21"/>
                <w:highlight w:val="none"/>
                <w:lang w:eastAsia="zh-CN"/>
              </w:rPr>
            </w:pPr>
            <w:r>
              <w:rPr>
                <w:rFonts w:hint="default" w:ascii="Times New Roman" w:hAnsi="Times New Roman" w:cs="Times New Roman"/>
                <w:szCs w:val="21"/>
                <w:highlight w:val="none"/>
              </w:rPr>
              <w:t>银行账号：57324000001888003664</w:t>
            </w:r>
            <w:r>
              <w:rPr>
                <w:rFonts w:hint="eastAsia" w:ascii="Times New Roman" w:hAnsi="Times New Roman" w:cs="Times New Roman"/>
                <w:szCs w:val="21"/>
                <w:highlight w:val="none"/>
                <w:lang w:val="en-US" w:eastAsia="zh-CN"/>
              </w:rPr>
              <w:t>7</w:t>
            </w:r>
          </w:p>
          <w:p w14:paraId="6041E7B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eastAsia="黑体" w:cs="Times New Roman"/>
                <w:b/>
                <w:bCs/>
                <w:szCs w:val="21"/>
                <w:highlight w:val="yellow"/>
                <w:lang w:val="en-US" w:eastAsia="zh-CN"/>
              </w:rPr>
            </w:pPr>
            <w:r>
              <w:rPr>
                <w:rFonts w:hint="eastAsia" w:ascii="Times New Roman" w:hAnsi="Times New Roman" w:cs="Times New Roman"/>
                <w:b/>
                <w:bCs/>
                <w:szCs w:val="21"/>
                <w:highlight w:val="yellow"/>
                <w:lang w:val="en-US" w:eastAsia="zh-CN"/>
              </w:rPr>
              <w:t>提示：</w:t>
            </w:r>
            <w:r>
              <w:rPr>
                <w:rFonts w:hint="eastAsia"/>
                <w:b/>
                <w:bCs/>
                <w:highlight w:val="yellow"/>
              </w:rPr>
              <w:t>汇款时</w:t>
            </w:r>
            <w:r>
              <w:rPr>
                <w:rFonts w:hint="eastAsia"/>
                <w:b/>
                <w:bCs/>
                <w:highlight w:val="yellow"/>
                <w:lang w:val="en-US" w:eastAsia="zh-CN"/>
              </w:rPr>
              <w:t>注意</w:t>
            </w:r>
            <w:r>
              <w:rPr>
                <w:rFonts w:hint="eastAsia"/>
                <w:b/>
                <w:bCs/>
                <w:highlight w:val="yellow"/>
              </w:rPr>
              <w:t>“亳（音bó）</w:t>
            </w:r>
            <w:r>
              <w:rPr>
                <w:rFonts w:hint="eastAsia"/>
                <w:b/>
                <w:bCs/>
                <w:highlight w:val="yellow"/>
                <w:lang w:val="en-US" w:eastAsia="zh-CN"/>
              </w:rPr>
              <w:t>州</w:t>
            </w:r>
            <w:r>
              <w:rPr>
                <w:rFonts w:hint="eastAsia"/>
                <w:b/>
                <w:bCs/>
                <w:highlight w:val="yellow"/>
              </w:rPr>
              <w:t>”</w:t>
            </w:r>
            <w:r>
              <w:rPr>
                <w:rFonts w:hint="eastAsia"/>
                <w:b/>
                <w:bCs/>
                <w:highlight w:val="yellow"/>
                <w:lang w:val="en-US" w:eastAsia="zh-CN"/>
              </w:rPr>
              <w:t>二字，请勿打错成“毫（háo）州”。</w:t>
            </w:r>
          </w:p>
          <w:p w14:paraId="7957240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其他要求：</w:t>
            </w:r>
          </w:p>
          <w:p w14:paraId="09552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必须在</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截止时间前，由</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在中华人民共和国境内注册经营的银行基本账户汇入到指定银行账号，确保银行记录可查询，转账或电汇时须在附言处备注</w:t>
            </w:r>
            <w:r>
              <w:rPr>
                <w:rFonts w:hint="eastAsia" w:ascii="Times New Roman" w:hAnsi="Times New Roman" w:cs="Times New Roman"/>
                <w:szCs w:val="21"/>
                <w:highlight w:val="none"/>
                <w:lang w:eastAsia="zh-CN"/>
              </w:rPr>
              <w:t>“</w:t>
            </w:r>
            <w:permStart w:id="34" w:edGrp="everyone"/>
            <w:r>
              <w:rPr>
                <w:rFonts w:hint="eastAsia" w:ascii="Times New Roman" w:hAnsi="Times New Roman" w:cs="Times New Roman"/>
                <w:b/>
                <w:bCs/>
                <w:color w:val="FF0000"/>
                <w:szCs w:val="21"/>
                <w:highlight w:val="none"/>
                <w:lang w:val="en-US" w:eastAsia="zh-CN"/>
              </w:rPr>
              <w:t>AHTKJS-2026-021号保证金</w:t>
            </w:r>
            <w:permEnd w:id="34"/>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rPr>
              <w:t>，否则</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责任自负。</w:t>
            </w:r>
          </w:p>
          <w:p w14:paraId="575CF013">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以到账时间为准，未按时汇入或非</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基本账户汇出或收款银行账号错误无法判定保证金对应关系的，保证金无效；现金存入或以其他方式存入（转入）的视为无效。</w:t>
            </w:r>
          </w:p>
          <w:p w14:paraId="2AD283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eastAsia" w:ascii="Times New Roman" w:hAnsi="Times New Roman" w:cs="Times New Roman"/>
                <w:b/>
                <w:bCs/>
                <w:szCs w:val="21"/>
                <w:highlight w:val="none"/>
                <w:lang w:eastAsia="zh-CN"/>
              </w:rPr>
              <w:t>响应保证金</w:t>
            </w:r>
            <w:r>
              <w:rPr>
                <w:rFonts w:hint="eastAsia" w:ascii="Times New Roman" w:hAnsi="Times New Roman" w:cs="Times New Roman"/>
                <w:b/>
                <w:bCs/>
                <w:szCs w:val="21"/>
                <w:highlight w:val="none"/>
                <w:lang w:val="en-US" w:eastAsia="zh-CN"/>
              </w:rPr>
              <w:t>的</w:t>
            </w:r>
            <w:r>
              <w:rPr>
                <w:rFonts w:hint="default" w:ascii="Times New Roman" w:hAnsi="Times New Roman" w:cs="Times New Roman"/>
                <w:b/>
                <w:bCs/>
                <w:szCs w:val="21"/>
                <w:highlight w:val="none"/>
              </w:rPr>
              <w:t>退还（本金无息）：</w:t>
            </w:r>
          </w:p>
          <w:p w14:paraId="5FDA9148">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不成功（或</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现场拒收</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w:t>
            </w:r>
            <w:r>
              <w:rPr>
                <w:rFonts w:hint="eastAsia" w:ascii="Times New Roman" w:hAnsi="Times New Roman" w:cs="Times New Roman"/>
                <w:szCs w:val="21"/>
                <w:highlight w:val="none"/>
                <w:lang w:val="en-US" w:eastAsia="zh-CN"/>
              </w:rPr>
              <w:t>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p w14:paraId="29B3A7C5">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w:t>
            </w:r>
            <w:r>
              <w:rPr>
                <w:rFonts w:hint="eastAsia" w:ascii="Times New Roman" w:hAnsi="Times New Roman" w:cs="Times New Roman"/>
                <w:szCs w:val="21"/>
                <w:highlight w:val="none"/>
                <w:lang w:eastAsia="zh-CN"/>
              </w:rPr>
              <w:t>成交候选人</w:t>
            </w:r>
            <w:r>
              <w:rPr>
                <w:rFonts w:hint="default" w:ascii="Times New Roman" w:hAnsi="Times New Roman" w:cs="Times New Roman"/>
                <w:szCs w:val="21"/>
                <w:highlight w:val="none"/>
              </w:rPr>
              <w:t>公示期满且确定</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人后，未</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人的</w:t>
            </w:r>
            <w:r>
              <w:rPr>
                <w:rFonts w:hint="eastAsia" w:ascii="Times New Roman" w:hAnsi="Times New Roman" w:cs="Times New Roman"/>
                <w:szCs w:val="21"/>
                <w:highlight w:val="none"/>
                <w:lang w:eastAsia="zh-CN"/>
              </w:rPr>
              <w:t>响应保证金</w:t>
            </w:r>
            <w:r>
              <w:rPr>
                <w:rFonts w:hint="eastAsia" w:ascii="Times New Roman" w:hAnsi="Times New Roman" w:cs="Times New Roman"/>
                <w:szCs w:val="21"/>
                <w:highlight w:val="none"/>
                <w:lang w:val="en-US" w:eastAsia="zh-CN"/>
              </w:rPr>
              <w:t>在10个工作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tc>
      </w:tr>
      <w:tr w14:paraId="3BAC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82C45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A02439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签字或盖章要求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CFAF8F9">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（1）盖章：除另有规定外，</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封面、封套封口处及文件中规定盖章处均须加盖</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公章（鲜章），不得使用</w:t>
            </w:r>
            <w:r>
              <w:rPr>
                <w:rFonts w:hint="eastAsia" w:ascii="Times New Roman" w:hAnsi="Times New Roman" w:cs="Times New Roman"/>
                <w:szCs w:val="21"/>
                <w:highlight w:val="none"/>
                <w:lang w:eastAsia="zh-CN"/>
              </w:rPr>
              <w:t>其他如</w:t>
            </w:r>
            <w:r>
              <w:rPr>
                <w:rFonts w:hint="default" w:ascii="Times New Roman" w:hAnsi="Times New Roman" w:cs="Times New Roman"/>
                <w:szCs w:val="21"/>
                <w:highlight w:val="none"/>
              </w:rPr>
              <w:t>带有“专用章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合同章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财务章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业务章”、下属单位或分支机构印章代替，否则其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p w14:paraId="15DD240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（2）签字：除文件另有规定外，均应为手写签字，否则其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tc>
      </w:tr>
      <w:tr w14:paraId="7153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FBFE65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D45F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响应文件副本份数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3792ED0">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响应文件份数：</w:t>
            </w:r>
            <w:permStart w:id="35" w:edGrp="everyone"/>
            <w:r>
              <w:rPr>
                <w:rFonts w:hint="eastAsia" w:ascii="Times New Roman" w:hAnsi="Times New Roman" w:cs="Times New Roman"/>
                <w:b/>
                <w:bCs/>
                <w:color w:val="FF0000"/>
                <w:szCs w:val="21"/>
                <w:highlight w:val="none"/>
                <w:u w:val="none"/>
                <w:lang w:val="en-US" w:eastAsia="zh-CN"/>
              </w:rPr>
              <w:t>正本1份、副本2份</w:t>
            </w:r>
          </w:p>
          <w:p w14:paraId="191279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u w:val="none"/>
                <w:lang w:val="en-US" w:eastAsia="zh-CN"/>
              </w:rPr>
            </w:pPr>
            <w:r>
              <w:rPr>
                <w:rFonts w:hint="eastAsia" w:ascii="Times New Roman" w:hAnsi="Times New Roman" w:cs="Times New Roman"/>
                <w:color w:val="FF0000"/>
                <w:szCs w:val="21"/>
                <w:highlight w:val="none"/>
                <w:u w:val="none"/>
                <w:lang w:val="en-US" w:eastAsia="zh-CN"/>
              </w:rPr>
              <w:t xml:space="preserve">是否要求述标：          </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要求</w:t>
            </w:r>
          </w:p>
          <w:p w14:paraId="2B19AC3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color w:val="FF0000"/>
                <w:szCs w:val="21"/>
                <w:highlight w:val="none"/>
                <w:u w:val="none"/>
                <w:lang w:val="en-US" w:eastAsia="zh-CN"/>
              </w:rPr>
              <w:t>是否要求提交电子版文件：</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 xml:space="preserve">要求 </w:t>
            </w:r>
            <w:permEnd w:id="35"/>
          </w:p>
          <w:p w14:paraId="29ECA97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其他要求：</w:t>
            </w:r>
          </w:p>
          <w:p w14:paraId="49EBE5F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（1）所有正本与副本封装在一个密封袋中，且在响应文件封面标明“正本”或“副本”的字样；</w:t>
            </w:r>
          </w:p>
          <w:p w14:paraId="5DAEA1A2">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（2）响应文件应按要求密封，密封袋封口加盖供应商单位印章；</w:t>
            </w:r>
          </w:p>
          <w:p w14:paraId="66A03CF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u w:val="none"/>
                <w:lang w:val="en-US" w:eastAsia="zh-CN"/>
              </w:rPr>
              <w:t>（3）响应文件须采用胶粘方式装订，装订应牢固、不易拆散和换页，不得采用活页装订。</w:t>
            </w:r>
          </w:p>
        </w:tc>
      </w:tr>
      <w:tr w14:paraId="0ED4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C06B7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24EBFD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封套上应载明的信息</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20FF93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permStart w:id="36" w:edGrp="everyone"/>
            <w:r>
              <w:rPr>
                <w:rFonts w:hint="eastAsia" w:ascii="Times New Roman" w:hAnsi="Times New Roman" w:cs="Times New Roman"/>
                <w:color w:val="FF0000"/>
                <w:szCs w:val="21"/>
                <w:highlight w:val="none"/>
                <w:lang w:val="en-US" w:eastAsia="zh-CN"/>
              </w:rPr>
              <w:t>开启地址：</w:t>
            </w:r>
            <w:r>
              <w:rPr>
                <w:rFonts w:hint="eastAsia" w:ascii="Times New Roman" w:hAnsi="Times New Roman" w:cs="Times New Roman"/>
                <w:color w:val="FF0000"/>
                <w:szCs w:val="21"/>
                <w:highlight w:val="none"/>
                <w:u w:val="single"/>
                <w:lang w:val="en-US" w:eastAsia="zh-CN"/>
              </w:rPr>
              <w:t>安徽省亳州市高新技术产业开发区神农大道与百合路交叉口亳州汽车南站广场西侧（安徽通康建设工程有限公司2楼开标室）</w:t>
            </w:r>
          </w:p>
          <w:p w14:paraId="78DB5630">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采购人：安徽通康建设工程有限公司</w:t>
            </w:r>
          </w:p>
          <w:p w14:paraId="5121562A">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u w:val="single"/>
                <w:lang w:val="en-US" w:eastAsia="zh-CN"/>
              </w:rPr>
              <w:t>亳州逸合府一期施工总承包项目标识标线工程专业分包</w:t>
            </w:r>
            <w:r>
              <w:rPr>
                <w:rFonts w:hint="eastAsia" w:ascii="Times New Roman" w:hAnsi="Times New Roman" w:cs="Times New Roman"/>
                <w:color w:val="FF0000"/>
                <w:szCs w:val="21"/>
                <w:highlight w:val="none"/>
                <w:lang w:val="en-US" w:eastAsia="zh-CN"/>
              </w:rPr>
              <w:t>响应文件</w:t>
            </w:r>
          </w:p>
          <w:p w14:paraId="7E019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项目编号：AHTKJS-2026-021号</w:t>
            </w:r>
          </w:p>
          <w:p w14:paraId="3C47C9D1">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color w:val="FF0000"/>
                <w:szCs w:val="21"/>
                <w:highlight w:val="none"/>
                <w:lang w:val="en-US" w:eastAsia="zh-CN"/>
              </w:rPr>
              <w:t>在</w:t>
            </w:r>
            <w:r>
              <w:rPr>
                <w:rFonts w:hint="eastAsia" w:ascii="Times New Roman" w:hAnsi="Times New Roman" w:cs="Times New Roman"/>
                <w:color w:val="FF0000"/>
                <w:szCs w:val="21"/>
                <w:highlight w:val="none"/>
                <w:u w:val="single"/>
                <w:lang w:val="en-US" w:eastAsia="zh-CN"/>
              </w:rPr>
              <w:t>2026</w:t>
            </w:r>
            <w:r>
              <w:rPr>
                <w:rFonts w:hint="eastAsia" w:ascii="Times New Roman" w:hAnsi="Times New Roman" w:cs="Times New Roman"/>
                <w:color w:val="FF0000"/>
                <w:szCs w:val="21"/>
                <w:highlight w:val="none"/>
                <w:u w:val="none"/>
                <w:lang w:val="en-US" w:eastAsia="zh-CN"/>
              </w:rPr>
              <w:t>年</w:t>
            </w:r>
            <w:r>
              <w:rPr>
                <w:rFonts w:hint="eastAsia" w:ascii="Times New Roman" w:hAnsi="Times New Roman" w:cs="Times New Roman"/>
                <w:color w:val="FF0000"/>
                <w:szCs w:val="21"/>
                <w:highlight w:val="none"/>
                <w:u w:val="single"/>
                <w:lang w:val="en-US" w:eastAsia="zh-CN"/>
              </w:rPr>
              <w:t>5</w:t>
            </w:r>
            <w:r>
              <w:rPr>
                <w:rFonts w:hint="eastAsia" w:ascii="Times New Roman" w:hAnsi="Times New Roman" w:cs="Times New Roman"/>
                <w:color w:val="FF0000"/>
                <w:szCs w:val="21"/>
                <w:highlight w:val="none"/>
                <w:u w:val="none"/>
                <w:lang w:val="en-US" w:eastAsia="zh-CN"/>
              </w:rPr>
              <w:t>月</w:t>
            </w:r>
            <w:r>
              <w:rPr>
                <w:rFonts w:hint="eastAsia" w:ascii="Times New Roman" w:hAnsi="Times New Roman" w:cs="Times New Roman"/>
                <w:color w:val="FF0000"/>
                <w:szCs w:val="21"/>
                <w:highlight w:val="none"/>
                <w:u w:val="single"/>
                <w:lang w:val="en-US" w:eastAsia="zh-CN"/>
              </w:rPr>
              <w:t>13</w:t>
            </w:r>
            <w:r>
              <w:rPr>
                <w:rFonts w:hint="eastAsia" w:ascii="Times New Roman" w:hAnsi="Times New Roman" w:cs="Times New Roman"/>
                <w:color w:val="FF0000"/>
                <w:szCs w:val="21"/>
                <w:highlight w:val="none"/>
                <w:u w:val="none"/>
                <w:lang w:val="en-US" w:eastAsia="zh-CN"/>
              </w:rPr>
              <w:t>日</w:t>
            </w:r>
            <w:r>
              <w:rPr>
                <w:rFonts w:hint="eastAsia" w:ascii="Times New Roman" w:hAnsi="Times New Roman" w:cs="Times New Roman"/>
                <w:color w:val="FF0000"/>
                <w:szCs w:val="21"/>
                <w:highlight w:val="none"/>
                <w:u w:val="single"/>
                <w:lang w:val="en-US" w:eastAsia="zh-CN"/>
              </w:rPr>
              <w:t>15</w:t>
            </w:r>
            <w:r>
              <w:rPr>
                <w:rFonts w:hint="eastAsia" w:ascii="Times New Roman" w:hAnsi="Times New Roman" w:cs="Times New Roman"/>
                <w:color w:val="FF0000"/>
                <w:szCs w:val="21"/>
                <w:highlight w:val="none"/>
                <w:u w:val="none"/>
                <w:lang w:val="en-US" w:eastAsia="zh-CN"/>
              </w:rPr>
              <w:t>时</w:t>
            </w:r>
            <w:r>
              <w:rPr>
                <w:rFonts w:hint="eastAsia" w:ascii="Times New Roman" w:hAnsi="Times New Roman" w:cs="Times New Roman"/>
                <w:color w:val="FF0000"/>
                <w:szCs w:val="21"/>
                <w:highlight w:val="none"/>
                <w:u w:val="single"/>
                <w:lang w:val="en-US" w:eastAsia="zh-CN"/>
              </w:rPr>
              <w:t>00</w:t>
            </w:r>
            <w:r>
              <w:rPr>
                <w:rFonts w:hint="eastAsia" w:ascii="Times New Roman" w:hAnsi="Times New Roman" w:cs="Times New Roman"/>
                <w:color w:val="FF0000"/>
                <w:szCs w:val="21"/>
                <w:highlight w:val="none"/>
                <w:u w:val="none"/>
                <w:lang w:val="en-US" w:eastAsia="zh-CN"/>
              </w:rPr>
              <w:t>分</w:t>
            </w:r>
            <w:r>
              <w:rPr>
                <w:rFonts w:hint="eastAsia" w:ascii="Times New Roman" w:hAnsi="Times New Roman" w:cs="Times New Roman"/>
                <w:color w:val="FF0000"/>
                <w:szCs w:val="21"/>
                <w:highlight w:val="none"/>
                <w:lang w:val="en-US" w:eastAsia="zh-CN"/>
              </w:rPr>
              <w:t>前不得开启</w:t>
            </w:r>
            <w:permEnd w:id="36"/>
          </w:p>
        </w:tc>
      </w:tr>
      <w:tr w14:paraId="2675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AC73B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06755CA">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是否退还响应文件</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0159EA4">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b/>
                <w:bCs/>
                <w:color w:val="FF0000"/>
                <w:szCs w:val="21"/>
                <w:highlight w:val="none"/>
                <w:lang w:val="en-US" w:eastAsia="zh-CN"/>
              </w:rPr>
              <w:t>不退还</w:t>
            </w:r>
          </w:p>
        </w:tc>
      </w:tr>
      <w:tr w14:paraId="1233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A7BC4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ED3E28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响应文件开启时间和地点</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678F8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时间：同</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w:t>
            </w:r>
          </w:p>
          <w:p w14:paraId="1B708F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地点：</w:t>
            </w:r>
            <w:r>
              <w:rPr>
                <w:rFonts w:hint="eastAsia" w:ascii="Times New Roman" w:hAnsi="Times New Roman" w:cs="Times New Roman"/>
                <w:szCs w:val="21"/>
                <w:highlight w:val="none"/>
                <w:lang w:val="en-US" w:eastAsia="zh-CN"/>
              </w:rPr>
              <w:t>同递交响应文件地点</w:t>
            </w:r>
          </w:p>
        </w:tc>
      </w:tr>
      <w:tr w14:paraId="2D79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2E911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374DA9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开启程序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842F1C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密封情况检查：</w:t>
            </w:r>
            <w:r>
              <w:rPr>
                <w:rFonts w:hint="eastAsia" w:ascii="Times New Roman" w:hAnsi="Times New Roman" w:cs="Times New Roman"/>
                <w:szCs w:val="21"/>
                <w:highlight w:val="none"/>
                <w:lang w:val="en-US" w:eastAsia="zh-CN"/>
              </w:rPr>
              <w:t>由供应商代表或采购平台工作人员检查确认。</w:t>
            </w:r>
          </w:p>
          <w:p w14:paraId="50E2CC6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顺序：按签到正顺序</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w:t>
            </w:r>
          </w:p>
        </w:tc>
      </w:tr>
      <w:tr w14:paraId="517B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F7A118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23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9A51B0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供应商不足3家时，是否转换采购方式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52D794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r>
              <w:rPr>
                <w:rFonts w:hint="eastAsia" w:ascii="Times New Roman" w:hAnsi="Times New Roman" w:cs="Times New Roman"/>
                <w:color w:val="FF0000"/>
                <w:szCs w:val="21"/>
                <w:highlight w:val="yellow"/>
                <w:u w:val="none"/>
                <w:lang w:val="en-US" w:eastAsia="zh-CN"/>
              </w:rPr>
              <w:t xml:space="preserve">  </w:t>
            </w:r>
            <w:r>
              <w:rPr>
                <w:rFonts w:hint="default" w:ascii="Times New Roman" w:hAnsi="Times New Roman" w:eastAsia="仿宋_GB2312" w:cs="Times New Roman"/>
                <w:b/>
                <w:bCs/>
                <w:color w:val="FF0000"/>
                <w:sz w:val="24"/>
                <w:szCs w:val="24"/>
                <w:highlight w:val="yellow"/>
                <w:lang w:val="en-US" w:eastAsia="zh-CN"/>
              </w:rPr>
              <w:sym w:font="Wingdings" w:char="00FE"/>
            </w:r>
            <w:r>
              <w:rPr>
                <w:rFonts w:hint="eastAsia" w:ascii="Times New Roman" w:hAnsi="Times New Roman" w:eastAsia="仿宋_GB2312" w:cs="Times New Roman"/>
                <w:b/>
                <w:bCs/>
                <w:color w:val="FF0000"/>
                <w:sz w:val="24"/>
                <w:szCs w:val="24"/>
                <w:highlight w:val="yellow"/>
                <w:lang w:val="en-US" w:eastAsia="zh-CN"/>
              </w:rPr>
              <w:t>不转换</w:t>
            </w:r>
            <w:r>
              <w:rPr>
                <w:rFonts w:hint="eastAsia" w:asciiTheme="minorEastAsia" w:hAnsiTheme="minorEastAsia" w:cstheme="minorEastAsia"/>
                <w:b/>
                <w:bCs/>
                <w:color w:val="FF0000"/>
                <w:szCs w:val="21"/>
                <w:highlight w:val="yellow"/>
                <w:lang w:val="en-US" w:eastAsia="zh-CN"/>
              </w:rPr>
              <w:t xml:space="preserve">   </w:t>
            </w:r>
            <w:r>
              <w:rPr>
                <w:rFonts w:hint="default" w:ascii="Times New Roman" w:hAnsi="Times New Roman" w:eastAsia="仿宋_GB2312" w:cs="Times New Roman"/>
                <w:b/>
                <w:bCs/>
                <w:color w:val="FF0000"/>
                <w:sz w:val="24"/>
                <w:szCs w:val="24"/>
                <w:highlight w:val="yellow"/>
                <w:lang w:val="en-US" w:eastAsia="zh-CN"/>
              </w:rPr>
              <w:sym w:font="Wingdings" w:char="00A8"/>
            </w:r>
            <w:r>
              <w:rPr>
                <w:rFonts w:hint="eastAsia" w:ascii="Times New Roman" w:hAnsi="Times New Roman" w:eastAsia="仿宋_GB2312" w:cs="Times New Roman"/>
                <w:b/>
                <w:bCs/>
                <w:color w:val="FF0000"/>
                <w:sz w:val="24"/>
                <w:szCs w:val="24"/>
                <w:highlight w:val="yellow"/>
                <w:lang w:val="en-US" w:eastAsia="zh-CN"/>
              </w:rPr>
              <w:t>转换</w:t>
            </w:r>
          </w:p>
        </w:tc>
      </w:tr>
      <w:tr w14:paraId="4B66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DD8E861">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9712A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评审委员会</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612E25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构成：3人以上单数（含3人）。</w:t>
            </w:r>
          </w:p>
          <w:p w14:paraId="61720888">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rPr>
              <w:t>组建：按有关规定组建。</w:t>
            </w:r>
          </w:p>
        </w:tc>
      </w:tr>
      <w:tr w14:paraId="6768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F571F8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25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3ED089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是否授权询价小组确定成交供应商</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49A7EF7">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否，推荐的成交候选人数：1-3名。</w:t>
            </w:r>
          </w:p>
        </w:tc>
      </w:tr>
      <w:tr w14:paraId="2BB2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212665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6229D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成交候选人公示媒介及期限</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CE13E5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rPr>
              <w:t>公示媒介：</w:t>
            </w:r>
            <w:r>
              <w:rPr>
                <w:rFonts w:hint="eastAsia" w:ascii="Times New Roman" w:hAnsi="Times New Roman" w:cs="Times New Roman"/>
                <w:color w:val="auto"/>
                <w:szCs w:val="21"/>
                <w:highlight w:val="none"/>
                <w:lang w:eastAsia="zh-CN"/>
              </w:rPr>
              <w:t>亳州交通投资控股集团有限公司官网（www.bzjkjt.com）</w:t>
            </w:r>
            <w:r>
              <w:rPr>
                <w:rFonts w:hint="eastAsia" w:ascii="Times New Roman" w:hAnsi="Times New Roman" w:cs="Times New Roman"/>
                <w:color w:val="auto"/>
                <w:szCs w:val="21"/>
                <w:highlight w:val="none"/>
                <w:lang w:val="en-US" w:eastAsia="zh-CN"/>
              </w:rPr>
              <w:t>网站上发布。</w:t>
            </w:r>
          </w:p>
          <w:p w14:paraId="7513ADE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Cs w:val="21"/>
                <w:highlight w:val="none"/>
              </w:rPr>
              <w:t>公示期限：</w:t>
            </w:r>
            <w:r>
              <w:rPr>
                <w:rFonts w:hint="eastAsia" w:ascii="Times New Roman" w:hAnsi="Times New Roman" w:cs="Times New Roman"/>
                <w:color w:val="auto"/>
                <w:szCs w:val="21"/>
                <w:highlight w:val="none"/>
                <w:lang w:val="en-US" w:eastAsia="zh-CN"/>
              </w:rPr>
              <w:t>不少于</w:t>
            </w:r>
            <w:r>
              <w:rPr>
                <w:rFonts w:hint="default" w:ascii="Times New Roman" w:hAnsi="Times New Roman" w:cs="Times New Roman"/>
                <w:color w:val="auto"/>
                <w:szCs w:val="21"/>
                <w:highlight w:val="none"/>
              </w:rPr>
              <w:t>3日</w:t>
            </w:r>
          </w:p>
        </w:tc>
      </w:tr>
      <w:tr w14:paraId="3009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E695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27</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4EF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成交结果异议提出时间</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0F1E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成交结果公示期内提出</w:t>
            </w:r>
          </w:p>
        </w:tc>
      </w:tr>
      <w:tr w14:paraId="28AB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39BC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28</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CBA8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异议渠道</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40D6A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permStart w:id="37" w:edGrp="everyone"/>
            <w:r>
              <w:rPr>
                <w:rFonts w:hint="eastAsia" w:ascii="Times New Roman" w:hAnsi="Times New Roman" w:cs="Times New Roman"/>
                <w:color w:val="auto"/>
                <w:szCs w:val="21"/>
                <w:highlight w:val="none"/>
                <w:lang w:val="en-US" w:eastAsia="zh-CN"/>
              </w:rPr>
              <w:t>联系人：</w:t>
            </w:r>
            <w:r>
              <w:rPr>
                <w:rFonts w:hint="eastAsia" w:ascii="Times New Roman" w:hAnsi="Times New Roman" w:cs="Times New Roman"/>
                <w:color w:val="auto"/>
                <w:szCs w:val="21"/>
                <w:highlight w:val="none"/>
                <w:u w:val="single"/>
                <w:lang w:val="en-US" w:eastAsia="zh-CN"/>
              </w:rPr>
              <w:t xml:space="preserve"> 安徽通康建设工程有限公司法务部 李工</w:t>
            </w:r>
          </w:p>
          <w:p w14:paraId="0087197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联系方式：</w:t>
            </w:r>
            <w:r>
              <w:rPr>
                <w:rFonts w:hint="eastAsia" w:ascii="Times New Roman" w:hAnsi="Times New Roman" w:cs="Times New Roman"/>
                <w:color w:val="auto"/>
                <w:szCs w:val="21"/>
                <w:highlight w:val="none"/>
                <w:u w:val="single"/>
                <w:lang w:val="en-US" w:eastAsia="zh-CN"/>
              </w:rPr>
              <w:t xml:space="preserve">  18906343943   </w:t>
            </w:r>
          </w:p>
          <w:p w14:paraId="332B3FC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地址：</w:t>
            </w:r>
            <w:r>
              <w:rPr>
                <w:rFonts w:hint="eastAsia" w:ascii="Times New Roman" w:hAnsi="Times New Roman" w:cs="Times New Roman"/>
                <w:color w:val="auto"/>
                <w:szCs w:val="21"/>
                <w:highlight w:val="none"/>
                <w:u w:val="single"/>
                <w:lang w:val="en-US" w:eastAsia="zh-CN"/>
              </w:rPr>
              <w:t xml:space="preserve"> 亳州市谯城区汽车南站西侧三楼法务部  </w:t>
            </w:r>
          </w:p>
          <w:p w14:paraId="4893C1F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heme="minorHAnsi" w:hAnsiTheme="minorHAnsi" w:eastAsiaTheme="minorEastAsia" w:cstheme="minorBidi"/>
                <w:kern w:val="2"/>
                <w:sz w:val="21"/>
                <w:szCs w:val="24"/>
                <w:lang w:val="en-US" w:eastAsia="zh-CN" w:bidi="ar-SA"/>
              </w:rPr>
            </w:pPr>
            <w:r>
              <w:rPr>
                <w:rFonts w:hint="eastAsia" w:ascii="Times New Roman" w:hAnsi="Times New Roman" w:cs="Times New Roman"/>
                <w:color w:val="auto"/>
                <w:szCs w:val="21"/>
                <w:highlight w:val="none"/>
                <w:lang w:val="en-US" w:eastAsia="zh-CN"/>
              </w:rPr>
              <w:t>其他：</w:t>
            </w:r>
            <w:r>
              <w:rPr>
                <w:rFonts w:hint="eastAsia" w:ascii="Times New Roman" w:hAnsi="Times New Roman" w:cs="Times New Roman"/>
                <w:color w:val="FF0000"/>
                <w:szCs w:val="21"/>
                <w:highlight w:val="none"/>
                <w:u w:val="single"/>
                <w:lang w:val="en-US" w:eastAsia="zh-CN"/>
              </w:rPr>
              <w:t xml:space="preserve"> 供应商或其他利害关系人应按照询比文件规定的程序提出异议，否则视为无效异议，不予受理。</w:t>
            </w:r>
            <w:permEnd w:id="37"/>
          </w:p>
        </w:tc>
      </w:tr>
      <w:tr w14:paraId="366F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869B46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34CF35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履约担保</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7DB9D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是否要求成交人提交履约保证金：</w:t>
            </w:r>
          </w:p>
          <w:p w14:paraId="7D0EDCD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permStart w:id="38" w:edGrp="everyone"/>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eastAsia="仿宋_GB2312" w:cs="Times New Roman"/>
                <w:color w:val="FF0000"/>
                <w:sz w:val="24"/>
                <w:szCs w:val="24"/>
                <w:lang w:val="en-US" w:eastAsia="zh-CN"/>
              </w:rPr>
              <w:t>不</w:t>
            </w:r>
            <w:r>
              <w:rPr>
                <w:rFonts w:hint="eastAsia" w:ascii="Times New Roman" w:hAnsi="Times New Roman" w:cs="Times New Roman"/>
                <w:color w:val="FF0000"/>
                <w:szCs w:val="21"/>
                <w:highlight w:val="none"/>
                <w:lang w:val="en-US" w:eastAsia="zh-CN"/>
              </w:rPr>
              <w:t>要求</w:t>
            </w:r>
          </w:p>
          <w:p w14:paraId="311F9A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eastAsia" w:ascii="Times New Roman" w:hAnsi="Times New Roman" w:cs="Times New Roman"/>
                <w:color w:val="FF0000"/>
                <w:szCs w:val="21"/>
                <w:highlight w:val="none"/>
                <w:lang w:val="en-US" w:eastAsia="zh-CN"/>
              </w:rPr>
              <w:t xml:space="preserve">要求  </w:t>
            </w:r>
          </w:p>
          <w:permEnd w:id="38"/>
          <w:p w14:paraId="101878F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lang w:val="en-US" w:eastAsia="zh-CN"/>
              </w:rPr>
            </w:pPr>
            <w:permStart w:id="39" w:edGrp="everyone"/>
            <w:r>
              <w:rPr>
                <w:rFonts w:hint="eastAsia" w:ascii="Times New Roman" w:hAnsi="Times New Roman" w:cs="Times New Roman"/>
                <w:color w:val="FF0000"/>
                <w:szCs w:val="21"/>
                <w:highlight w:val="none"/>
                <w:lang w:val="en-US" w:eastAsia="zh-CN"/>
              </w:rPr>
              <w:t>采购人银行账户：</w:t>
            </w:r>
            <w:r>
              <w:rPr>
                <w:rFonts w:hint="eastAsia" w:ascii="Times New Roman" w:hAnsi="Times New Roman" w:cs="Times New Roman"/>
                <w:b/>
                <w:bCs/>
                <w:color w:val="FF0000"/>
                <w:szCs w:val="21"/>
                <w:highlight w:val="none"/>
                <w:lang w:val="en-US" w:eastAsia="zh-CN"/>
              </w:rPr>
              <w:t xml:space="preserve">  </w:t>
            </w:r>
            <w:permEnd w:id="39"/>
          </w:p>
          <w:p w14:paraId="09EFA34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b/>
                <w:bCs/>
                <w:color w:val="FF0000"/>
                <w:szCs w:val="21"/>
                <w:highlight w:val="none"/>
                <w:lang w:val="en-US" w:eastAsia="zh-CN"/>
              </w:rPr>
            </w:pPr>
            <w:r>
              <w:rPr>
                <w:rFonts w:hint="eastAsia" w:ascii="Times New Roman" w:hAnsi="Times New Roman" w:cs="Times New Roman"/>
                <w:b/>
                <w:bCs/>
                <w:color w:val="FF0000"/>
                <w:szCs w:val="21"/>
                <w:highlight w:val="none"/>
                <w:lang w:val="en-US" w:eastAsia="zh-CN"/>
              </w:rPr>
              <w:t>开户名称：安徽通康建设工程有限公司</w:t>
            </w:r>
          </w:p>
          <w:p w14:paraId="3674059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b/>
                <w:bCs/>
                <w:color w:val="FF0000"/>
                <w:szCs w:val="21"/>
                <w:highlight w:val="none"/>
                <w:lang w:val="en-US" w:eastAsia="zh-CN"/>
              </w:rPr>
            </w:pPr>
            <w:r>
              <w:rPr>
                <w:rFonts w:hint="eastAsia" w:ascii="Times New Roman" w:hAnsi="Times New Roman" w:cs="Times New Roman"/>
                <w:b/>
                <w:bCs/>
                <w:color w:val="FF0000"/>
                <w:szCs w:val="21"/>
                <w:highlight w:val="none"/>
                <w:lang w:val="en-US" w:eastAsia="zh-CN"/>
              </w:rPr>
              <w:t>开户银行：交通银行亳州分行营业部</w:t>
            </w:r>
          </w:p>
          <w:p w14:paraId="192B401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lang w:val="en-US" w:eastAsia="zh-CN"/>
              </w:rPr>
            </w:pPr>
            <w:r>
              <w:rPr>
                <w:rFonts w:hint="eastAsia" w:ascii="Times New Roman" w:hAnsi="Times New Roman" w:cs="Times New Roman"/>
                <w:b/>
                <w:bCs/>
                <w:color w:val="FF0000"/>
                <w:szCs w:val="21"/>
                <w:highlight w:val="none"/>
                <w:lang w:val="en-US" w:eastAsia="zh-CN"/>
              </w:rPr>
              <w:t>银行账号：573240000018880036647</w:t>
            </w:r>
          </w:p>
          <w:p w14:paraId="35D5704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FF0000"/>
                <w:szCs w:val="21"/>
                <w:highlight w:val="none"/>
              </w:rPr>
            </w:pPr>
            <w:r>
              <w:rPr>
                <w:rFonts w:hint="default" w:ascii="Times New Roman" w:hAnsi="Times New Roman" w:cs="Times New Roman"/>
                <w:szCs w:val="21"/>
                <w:highlight w:val="none"/>
              </w:rPr>
              <w:t>履约担保的形式：</w:t>
            </w:r>
            <w:permStart w:id="40" w:edGrp="everyone"/>
            <w:r>
              <w:rPr>
                <w:rFonts w:hint="eastAsia" w:ascii="Times New Roman" w:hAnsi="Times New Roman" w:cs="Times New Roman"/>
                <w:color w:val="FF0000"/>
                <w:szCs w:val="21"/>
                <w:highlight w:val="none"/>
                <w:lang w:val="en-US" w:eastAsia="zh-CN"/>
              </w:rPr>
              <w:t>成交</w:t>
            </w:r>
            <w:r>
              <w:rPr>
                <w:rFonts w:hint="default" w:ascii="Times New Roman" w:hAnsi="Times New Roman" w:cs="Times New Roman"/>
                <w:color w:val="FF0000"/>
                <w:szCs w:val="21"/>
                <w:highlight w:val="none"/>
              </w:rPr>
              <w:t>后，</w:t>
            </w:r>
            <w:r>
              <w:rPr>
                <w:rFonts w:hint="eastAsia" w:ascii="Times New Roman" w:hAnsi="Times New Roman" w:cs="Times New Roman"/>
                <w:color w:val="FF0000"/>
                <w:szCs w:val="21"/>
                <w:highlight w:val="none"/>
                <w:lang w:eastAsia="zh-CN"/>
              </w:rPr>
              <w:t>响应保证金</w:t>
            </w:r>
            <w:r>
              <w:rPr>
                <w:rFonts w:hint="default" w:ascii="Times New Roman" w:hAnsi="Times New Roman" w:cs="Times New Roman"/>
                <w:color w:val="FF0000"/>
                <w:szCs w:val="21"/>
                <w:highlight w:val="none"/>
              </w:rPr>
              <w:t>自动转为履约保证金，履约保证金不足部分由</w:t>
            </w:r>
            <w:r>
              <w:rPr>
                <w:rFonts w:hint="eastAsia" w:ascii="Times New Roman" w:hAnsi="Times New Roman" w:cs="Times New Roman"/>
                <w:color w:val="FF0000"/>
                <w:szCs w:val="21"/>
                <w:highlight w:val="none"/>
                <w:lang w:eastAsia="zh-CN"/>
              </w:rPr>
              <w:t>成交人</w:t>
            </w:r>
            <w:r>
              <w:rPr>
                <w:rFonts w:hint="default" w:ascii="Times New Roman" w:hAnsi="Times New Roman" w:cs="Times New Roman"/>
                <w:color w:val="FF0000"/>
                <w:szCs w:val="21"/>
                <w:highlight w:val="none"/>
              </w:rPr>
              <w:t>在收到</w:t>
            </w:r>
            <w:r>
              <w:rPr>
                <w:rFonts w:hint="eastAsia" w:ascii="Times New Roman" w:hAnsi="Times New Roman" w:cs="Times New Roman"/>
                <w:color w:val="FF0000"/>
                <w:szCs w:val="21"/>
                <w:highlight w:val="none"/>
                <w:lang w:val="en-US" w:eastAsia="zh-CN"/>
              </w:rPr>
              <w:t>成交</w:t>
            </w:r>
            <w:r>
              <w:rPr>
                <w:rFonts w:hint="default" w:ascii="Times New Roman" w:hAnsi="Times New Roman" w:cs="Times New Roman"/>
                <w:color w:val="FF0000"/>
                <w:szCs w:val="21"/>
                <w:highlight w:val="none"/>
              </w:rPr>
              <w:t>通知书</w:t>
            </w:r>
            <w:r>
              <w:rPr>
                <w:rFonts w:hint="eastAsia" w:ascii="Times New Roman" w:hAnsi="Times New Roman" w:cs="Times New Roman"/>
                <w:color w:val="FF0000"/>
                <w:szCs w:val="21"/>
                <w:highlight w:val="none"/>
                <w:lang w:val="en-US" w:eastAsia="zh-CN"/>
              </w:rPr>
              <w:t>后30</w:t>
            </w:r>
            <w:r>
              <w:rPr>
                <w:rFonts w:hint="default" w:ascii="Times New Roman" w:hAnsi="Times New Roman" w:cs="Times New Roman"/>
                <w:color w:val="FF0000"/>
                <w:szCs w:val="21"/>
                <w:highlight w:val="none"/>
              </w:rPr>
              <w:t>日内从其基本账户开户行银行汇款</w:t>
            </w:r>
            <w:r>
              <w:rPr>
                <w:rFonts w:hint="eastAsia" w:ascii="Times New Roman" w:hAnsi="Times New Roman" w:cs="Times New Roman"/>
                <w:color w:val="FF0000"/>
                <w:szCs w:val="21"/>
                <w:highlight w:val="none"/>
                <w:lang w:val="en-US" w:eastAsia="zh-CN"/>
              </w:rPr>
              <w:t>或转账或开具保函</w:t>
            </w:r>
            <w:r>
              <w:rPr>
                <w:rFonts w:hint="default" w:ascii="Times New Roman" w:hAnsi="Times New Roman" w:cs="Times New Roman"/>
                <w:color w:val="FF0000"/>
                <w:szCs w:val="21"/>
                <w:highlight w:val="none"/>
              </w:rPr>
              <w:t>。采用保函形式的，有效期应不少于项目规定的</w:t>
            </w:r>
            <w:r>
              <w:rPr>
                <w:rFonts w:hint="eastAsia" w:ascii="Times New Roman" w:hAnsi="Times New Roman" w:cs="Times New Roman"/>
                <w:color w:val="FF0000"/>
                <w:szCs w:val="21"/>
                <w:highlight w:val="none"/>
                <w:lang w:val="en-US" w:eastAsia="zh-CN"/>
              </w:rPr>
              <w:t>计划工期</w:t>
            </w:r>
            <w:r>
              <w:rPr>
                <w:rFonts w:hint="default" w:ascii="Times New Roman" w:hAnsi="Times New Roman" w:cs="Times New Roman"/>
                <w:color w:val="FF0000"/>
                <w:szCs w:val="21"/>
                <w:highlight w:val="none"/>
              </w:rPr>
              <w:t>，且须满足不可撤销的无条件见索即付条件。</w:t>
            </w:r>
          </w:p>
          <w:p w14:paraId="13B932C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r>
              <w:rPr>
                <w:rFonts w:hint="default" w:ascii="Times New Roman" w:hAnsi="Times New Roman" w:cs="Times New Roman"/>
                <w:szCs w:val="21"/>
                <w:highlight w:val="none"/>
              </w:rPr>
              <w:t>履约担保的金额：</w:t>
            </w:r>
            <w:r>
              <w:rPr>
                <w:rFonts w:hint="eastAsia" w:ascii="Times New Roman" w:hAnsi="Times New Roman" w:cs="Times New Roman"/>
                <w:b/>
                <w:bCs/>
                <w:color w:val="FF0000"/>
                <w:szCs w:val="21"/>
                <w:highlight w:val="none"/>
                <w:lang w:val="en-US" w:eastAsia="zh-CN"/>
              </w:rPr>
              <w:t xml:space="preserve">成交价款的10%  </w:t>
            </w:r>
          </w:p>
          <w:p w14:paraId="1A3CF11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szCs w:val="21"/>
                <w:highlight w:val="none"/>
              </w:rPr>
              <w:t>履约保证金的退还：无违约行为发生或违约行为已处理的情况下</w:t>
            </w:r>
            <w:r>
              <w:rPr>
                <w:rFonts w:hint="eastAsia" w:ascii="Times New Roman" w:hAnsi="Times New Roman" w:cs="Times New Roman"/>
                <w:szCs w:val="21"/>
                <w:highlight w:val="none"/>
                <w:lang w:eastAsia="zh-CN"/>
              </w:rPr>
              <w:t>，</w:t>
            </w:r>
            <w:r>
              <w:rPr>
                <w:rFonts w:hint="eastAsia" w:ascii="Times New Roman" w:hAnsi="Times New Roman" w:cs="Times New Roman"/>
                <w:color w:val="FF0000"/>
                <w:szCs w:val="21"/>
                <w:highlight w:val="none"/>
                <w:lang w:val="en-US" w:eastAsia="zh-CN"/>
              </w:rPr>
              <w:t>计划工期满且工程无质量问题（或质量问题已解决）</w:t>
            </w:r>
            <w:r>
              <w:rPr>
                <w:rFonts w:hint="eastAsia" w:ascii="Times New Roman" w:hAnsi="Times New Roman" w:cs="Times New Roman"/>
                <w:color w:val="000000" w:themeColor="text1"/>
                <w:szCs w:val="21"/>
                <w:highlight w:val="none"/>
                <w:lang w:val="en-US" w:eastAsia="zh-CN"/>
                <w14:textFill>
                  <w14:solidFill>
                    <w14:schemeClr w14:val="tx1"/>
                  </w14:solidFill>
                </w14:textFill>
              </w:rPr>
              <w:t>后</w:t>
            </w:r>
            <w:r>
              <w:rPr>
                <w:rFonts w:hint="eastAsia" w:ascii="Times New Roman" w:hAnsi="Times New Roman" w:cs="Times New Roman"/>
                <w:szCs w:val="21"/>
                <w:highlight w:val="none"/>
                <w:lang w:val="en-US" w:eastAsia="zh-CN"/>
              </w:rPr>
              <w:t>退</w:t>
            </w:r>
            <w:r>
              <w:rPr>
                <w:rFonts w:hint="default" w:ascii="Times New Roman" w:hAnsi="Times New Roman" w:cs="Times New Roman"/>
                <w:szCs w:val="21"/>
                <w:highlight w:val="none"/>
              </w:rPr>
              <w:t>还</w:t>
            </w:r>
            <w:r>
              <w:rPr>
                <w:rFonts w:hint="eastAsia" w:ascii="Times New Roman" w:hAnsi="Times New Roman" w:cs="Times New Roman"/>
                <w:szCs w:val="21"/>
                <w:highlight w:val="none"/>
                <w:lang w:val="en-US" w:eastAsia="zh-CN"/>
              </w:rPr>
              <w:t>全部</w:t>
            </w:r>
            <w:r>
              <w:rPr>
                <w:rFonts w:hint="default" w:ascii="Times New Roman" w:hAnsi="Times New Roman" w:cs="Times New Roman"/>
                <w:szCs w:val="21"/>
                <w:highlight w:val="none"/>
              </w:rPr>
              <w:t>履约保证金（本金</w:t>
            </w:r>
            <w:r>
              <w:rPr>
                <w:rFonts w:hint="eastAsia" w:ascii="Times New Roman" w:hAnsi="Times New Roman" w:cs="Times New Roman"/>
                <w:szCs w:val="21"/>
                <w:highlight w:val="none"/>
                <w:lang w:val="en-US" w:eastAsia="zh-CN"/>
              </w:rPr>
              <w:t>无息</w:t>
            </w:r>
            <w:r>
              <w:rPr>
                <w:rFonts w:hint="default" w:ascii="Times New Roman" w:hAnsi="Times New Roman" w:cs="Times New Roman"/>
                <w:szCs w:val="21"/>
                <w:highlight w:val="none"/>
              </w:rPr>
              <w:t>）。</w:t>
            </w:r>
            <w:permEnd w:id="40"/>
          </w:p>
        </w:tc>
      </w:tr>
      <w:tr w14:paraId="2D32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4E8D7E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30</w:t>
            </w:r>
          </w:p>
        </w:tc>
        <w:tc>
          <w:tcPr>
            <w:tcW w:w="7514" w:type="dxa"/>
            <w:gridSpan w:val="2"/>
            <w:tcBorders>
              <w:top w:val="single" w:color="auto" w:sz="4" w:space="0"/>
              <w:left w:val="single" w:color="auto" w:sz="4" w:space="0"/>
              <w:bottom w:val="single" w:color="auto" w:sz="4" w:space="0"/>
              <w:right w:val="single" w:color="auto" w:sz="4" w:space="0"/>
            </w:tcBorders>
            <w:noWrap w:val="0"/>
            <w:vAlign w:val="center"/>
          </w:tcPr>
          <w:p w14:paraId="5F0A5F6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b/>
                <w:bCs/>
                <w:szCs w:val="21"/>
                <w:highlight w:val="none"/>
                <w:lang w:val="en-US" w:eastAsia="zh-CN"/>
              </w:rPr>
              <w:t>需要补充的其他内容</w:t>
            </w:r>
          </w:p>
        </w:tc>
      </w:tr>
      <w:tr w14:paraId="32E4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E29C1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F77B2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电子询比采购</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78CEFCF">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eastAsia="仿宋_GB2312" w:cs="Times New Roman"/>
                <w:sz w:val="24"/>
                <w:szCs w:val="24"/>
                <w:lang w:val="en-US" w:eastAsia="zh-CN"/>
              </w:rPr>
              <w:sym w:font="Wingdings" w:char="00FE"/>
            </w:r>
            <w:r>
              <w:rPr>
                <w:rFonts w:hint="default" w:ascii="Times New Roman" w:hAnsi="Times New Roman" w:cs="Times New Roman"/>
                <w:szCs w:val="21"/>
                <w:highlight w:val="none"/>
              </w:rPr>
              <w:t>否</w:t>
            </w:r>
          </w:p>
        </w:tc>
      </w:tr>
      <w:tr w14:paraId="6A48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D4BD6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AB173D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解释权</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54D6BB7">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构成本</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文件中有特别规定外，仅适用于</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阶段的规定，按</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须知、</w:t>
            </w:r>
            <w:r>
              <w:rPr>
                <w:rFonts w:hint="eastAsia" w:ascii="Times New Roman" w:hAnsi="Times New Roman" w:cs="Times New Roman"/>
                <w:szCs w:val="21"/>
                <w:highlight w:val="none"/>
                <w:lang w:eastAsia="zh-CN"/>
              </w:rPr>
              <w:t>评审</w:t>
            </w:r>
            <w:r>
              <w:rPr>
                <w:rFonts w:hint="default" w:ascii="Times New Roman" w:hAnsi="Times New Roman" w:cs="Times New Roman"/>
                <w:szCs w:val="21"/>
                <w:highlight w:val="none"/>
              </w:rPr>
              <w:t>办法、</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负责解释。</w:t>
            </w:r>
          </w:p>
        </w:tc>
      </w:tr>
    </w:tbl>
    <w:p w14:paraId="3AFFD7D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firstLine="420" w:firstLineChars="200"/>
        <w:jc w:val="both"/>
        <w:textAlignment w:val="auto"/>
        <w:rPr>
          <w:rFonts w:hint="eastAsia" w:ascii="黑体" w:hAnsi="黑体" w:eastAsia="黑体" w:cs="黑体"/>
          <w:color w:val="000000"/>
          <w:highlight w:val="none"/>
        </w:rPr>
      </w:pPr>
      <w:r>
        <w:rPr>
          <w:rFonts w:hint="eastAsia" w:ascii="黑体" w:hAnsi="黑体" w:eastAsia="黑体" w:cs="黑体"/>
          <w:color w:val="000000"/>
          <w:highlight w:val="none"/>
        </w:rPr>
        <w:t>说明：</w:t>
      </w:r>
    </w:p>
    <w:p w14:paraId="798B841F">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一、说明</w:t>
      </w:r>
    </w:p>
    <w:p w14:paraId="2A1C0743">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0" w:name="_Toc152045532"/>
      <w:bookmarkStart w:id="1" w:name="_Toc247085692"/>
      <w:bookmarkStart w:id="2" w:name="_Toc246996178"/>
      <w:bookmarkStart w:id="3" w:name="_Toc179632549"/>
      <w:bookmarkStart w:id="4" w:name="_Toc296602423"/>
      <w:bookmarkStart w:id="5" w:name="_Toc246996921"/>
      <w:bookmarkStart w:id="6" w:name="_Toc144974500"/>
      <w:bookmarkStart w:id="7" w:name="_Toc152042308"/>
      <w:r>
        <w:rPr>
          <w:rFonts w:hint="eastAsia"/>
          <w:lang w:val="en-US" w:eastAsia="zh-CN"/>
        </w:rPr>
        <w:t>1.</w:t>
      </w:r>
      <w:bookmarkEnd w:id="0"/>
      <w:bookmarkEnd w:id="1"/>
      <w:bookmarkEnd w:id="2"/>
      <w:bookmarkEnd w:id="3"/>
      <w:bookmarkEnd w:id="4"/>
      <w:bookmarkEnd w:id="5"/>
      <w:bookmarkEnd w:id="6"/>
      <w:bookmarkEnd w:id="7"/>
      <w:r>
        <w:rPr>
          <w:rFonts w:hint="eastAsia"/>
        </w:rPr>
        <w:t>合格</w:t>
      </w:r>
      <w:r>
        <w:rPr>
          <w:rFonts w:hint="eastAsia"/>
          <w:lang w:eastAsia="zh-CN"/>
        </w:rPr>
        <w:t>供应商</w:t>
      </w:r>
    </w:p>
    <w:p w14:paraId="6D8A132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1.1</w:t>
      </w:r>
      <w:r>
        <w:rPr>
          <w:rFonts w:hint="eastAsia"/>
        </w:rPr>
        <w:t>凡来自中华人民共和国或是与中华人民共和国有正常贸易往来的国家</w:t>
      </w:r>
      <w:r>
        <w:rPr>
          <w:rFonts w:hint="eastAsia"/>
          <w:lang w:val="en-US" w:eastAsia="zh-CN"/>
        </w:rPr>
        <w:t>或地</w:t>
      </w:r>
      <w:r>
        <w:rPr>
          <w:rFonts w:hint="eastAsia"/>
        </w:rPr>
        <w:t>区的获得一般纳税人的法人均为合格</w:t>
      </w:r>
      <w:r>
        <w:rPr>
          <w:rFonts w:hint="eastAsia"/>
          <w:lang w:eastAsia="zh-CN"/>
        </w:rPr>
        <w:t>供应商。</w:t>
      </w:r>
    </w:p>
    <w:p w14:paraId="6642791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w:t>
      </w:r>
      <w:r>
        <w:rPr>
          <w:rFonts w:hint="eastAsia"/>
        </w:rPr>
        <w:t>.</w:t>
      </w:r>
      <w:r>
        <w:rPr>
          <w:rFonts w:hint="eastAsia"/>
          <w:lang w:val="en-US" w:eastAsia="zh-CN"/>
        </w:rPr>
        <w:t>2</w:t>
      </w:r>
      <w:r>
        <w:rPr>
          <w:rFonts w:hint="eastAsia"/>
        </w:rPr>
        <w:t xml:space="preserve"> </w:t>
      </w:r>
      <w:r>
        <w:rPr>
          <w:rFonts w:hint="eastAsia"/>
          <w:lang w:eastAsia="zh-CN"/>
        </w:rPr>
        <w:t>供应商</w:t>
      </w:r>
      <w:r>
        <w:rPr>
          <w:rFonts w:hint="eastAsia"/>
        </w:rPr>
        <w:t>之间如果存在下列情形之一的</w:t>
      </w:r>
      <w:r>
        <w:rPr>
          <w:rFonts w:hint="eastAsia"/>
          <w:lang w:eastAsia="zh-CN"/>
        </w:rPr>
        <w:t>，</w:t>
      </w:r>
      <w:r>
        <w:rPr>
          <w:rFonts w:hint="eastAsia"/>
        </w:rPr>
        <w:t>不得同时参加本</w:t>
      </w:r>
      <w:r>
        <w:rPr>
          <w:rFonts w:hint="eastAsia"/>
          <w:lang w:val="en-US" w:eastAsia="zh-CN"/>
        </w:rPr>
        <w:t>次询比活动</w:t>
      </w:r>
      <w:r>
        <w:rPr>
          <w:rFonts w:hint="eastAsia"/>
          <w:lang w:eastAsia="zh-CN"/>
        </w:rPr>
        <w:t>：</w:t>
      </w:r>
    </w:p>
    <w:p w14:paraId="72C147C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（1）与</w:t>
      </w:r>
      <w:r>
        <w:rPr>
          <w:rFonts w:hint="eastAsia"/>
          <w:lang w:eastAsia="zh-CN"/>
        </w:rPr>
        <w:t>采购人</w:t>
      </w:r>
      <w:r>
        <w:rPr>
          <w:rFonts w:hint="eastAsia"/>
        </w:rPr>
        <w:t>存在利害关系且可能影响</w:t>
      </w:r>
      <w:r>
        <w:rPr>
          <w:rFonts w:hint="eastAsia"/>
          <w:lang w:eastAsia="zh-CN"/>
        </w:rPr>
        <w:t>询比</w:t>
      </w:r>
      <w:r>
        <w:rPr>
          <w:rFonts w:hint="eastAsia"/>
        </w:rPr>
        <w:t>公正性</w:t>
      </w:r>
      <w:r>
        <w:rPr>
          <w:rFonts w:hint="eastAsia"/>
          <w:lang w:eastAsia="zh-CN"/>
        </w:rPr>
        <w:t>；</w:t>
      </w:r>
    </w:p>
    <w:p w14:paraId="0017B4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2</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为同一个法定代表人</w:t>
      </w:r>
      <w:r>
        <w:rPr>
          <w:rFonts w:hint="eastAsia"/>
          <w:lang w:eastAsia="zh-CN"/>
        </w:rPr>
        <w:t>（</w:t>
      </w:r>
      <w:r>
        <w:rPr>
          <w:rFonts w:hint="eastAsia"/>
        </w:rPr>
        <w:t>单位负责人</w:t>
      </w:r>
      <w:r>
        <w:rPr>
          <w:rFonts w:hint="eastAsia"/>
          <w:lang w:eastAsia="zh-CN"/>
        </w:rPr>
        <w:t>）；</w:t>
      </w:r>
    </w:p>
    <w:p w14:paraId="5EA7A27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3</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存在控股、管理关系</w:t>
      </w:r>
      <w:r>
        <w:rPr>
          <w:rFonts w:hint="eastAsia"/>
          <w:lang w:eastAsia="zh-CN"/>
        </w:rPr>
        <w:t>；</w:t>
      </w:r>
    </w:p>
    <w:p w14:paraId="0C7F29B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4</w:t>
      </w:r>
      <w:r>
        <w:rPr>
          <w:rFonts w:hint="eastAsia"/>
        </w:rPr>
        <w:t>）为本</w:t>
      </w:r>
      <w:r>
        <w:rPr>
          <w:rFonts w:hint="eastAsia"/>
          <w:lang w:eastAsia="zh-CN"/>
        </w:rPr>
        <w:t>询比</w:t>
      </w:r>
      <w:r>
        <w:rPr>
          <w:rFonts w:hint="eastAsia"/>
        </w:rPr>
        <w:t>项目的</w:t>
      </w:r>
      <w:r>
        <w:rPr>
          <w:rFonts w:hint="eastAsia"/>
          <w:lang w:eastAsia="zh-CN"/>
        </w:rPr>
        <w:t>采购平台；</w:t>
      </w:r>
    </w:p>
    <w:p w14:paraId="3A8A87B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5</w:t>
      </w:r>
      <w:r>
        <w:rPr>
          <w:rFonts w:hint="eastAsia"/>
        </w:rPr>
        <w:t>）被责令停产停业、暂扣或者吊销许可证、暂扣或者吊销执照</w:t>
      </w:r>
      <w:r>
        <w:rPr>
          <w:rFonts w:hint="eastAsia"/>
          <w:lang w:eastAsia="zh-CN"/>
        </w:rPr>
        <w:t>；</w:t>
      </w:r>
    </w:p>
    <w:p w14:paraId="567FC6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6</w:t>
      </w:r>
      <w:r>
        <w:rPr>
          <w:rFonts w:hint="eastAsia"/>
        </w:rPr>
        <w:t>）进入清算程序</w:t>
      </w:r>
      <w:r>
        <w:rPr>
          <w:rFonts w:hint="eastAsia"/>
          <w:lang w:eastAsia="zh-CN"/>
        </w:rPr>
        <w:t>，</w:t>
      </w:r>
      <w:r>
        <w:rPr>
          <w:rFonts w:hint="eastAsia"/>
        </w:rPr>
        <w:t>或被</w:t>
      </w:r>
      <w:r>
        <w:rPr>
          <w:rFonts w:hint="eastAsia"/>
          <w:lang w:val="en-US" w:eastAsia="zh-CN"/>
        </w:rPr>
        <w:t>宣</w:t>
      </w:r>
      <w:r>
        <w:rPr>
          <w:rFonts w:hint="eastAsia"/>
        </w:rPr>
        <w:t>告破产</w:t>
      </w:r>
      <w:r>
        <w:rPr>
          <w:rFonts w:hint="eastAsia"/>
          <w:lang w:eastAsia="zh-CN"/>
        </w:rPr>
        <w:t>，</w:t>
      </w:r>
      <w:r>
        <w:rPr>
          <w:rFonts w:hint="eastAsia"/>
        </w:rPr>
        <w:t>或其他丧失履约能力的情形</w:t>
      </w:r>
      <w:r>
        <w:rPr>
          <w:rFonts w:hint="eastAsia"/>
          <w:lang w:eastAsia="zh-CN"/>
        </w:rPr>
        <w:t>；</w:t>
      </w:r>
    </w:p>
    <w:p w14:paraId="7E86715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7</w:t>
      </w:r>
      <w:r>
        <w:rPr>
          <w:rFonts w:hint="eastAsia"/>
        </w:rPr>
        <w:t>）法律法规或</w:t>
      </w:r>
      <w:r>
        <w:rPr>
          <w:rFonts w:hint="eastAsia"/>
          <w:lang w:eastAsia="zh-CN"/>
        </w:rPr>
        <w:t>供应商</w:t>
      </w:r>
      <w:r>
        <w:rPr>
          <w:rFonts w:hint="eastAsia"/>
        </w:rPr>
        <w:t>须知前附表及</w:t>
      </w:r>
      <w:r>
        <w:rPr>
          <w:rFonts w:hint="eastAsia"/>
          <w:lang w:eastAsia="zh-CN"/>
        </w:rPr>
        <w:t>询比公告</w:t>
      </w:r>
      <w:r>
        <w:rPr>
          <w:rFonts w:hint="eastAsia"/>
          <w:lang w:val="en-US" w:eastAsia="zh-CN"/>
        </w:rPr>
        <w:t>/邀请书</w:t>
      </w:r>
      <w:r>
        <w:rPr>
          <w:rFonts w:hint="eastAsia"/>
        </w:rPr>
        <w:t>规定的其他情形</w:t>
      </w:r>
      <w:r>
        <w:rPr>
          <w:rFonts w:hint="eastAsia"/>
          <w:lang w:eastAsia="zh-CN"/>
        </w:rPr>
        <w:t>。</w:t>
      </w:r>
    </w:p>
    <w:p w14:paraId="06B581F3">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r>
        <w:rPr>
          <w:rFonts w:hint="eastAsia"/>
          <w:lang w:val="en-US" w:eastAsia="zh-CN"/>
        </w:rPr>
        <w:t>2.</w:t>
      </w:r>
      <w:r>
        <w:rPr>
          <w:rFonts w:hint="eastAsia"/>
        </w:rPr>
        <w:t>费用</w:t>
      </w:r>
      <w:r>
        <w:rPr>
          <w:rFonts w:hint="eastAsia"/>
          <w:lang w:val="en-US" w:eastAsia="zh-CN"/>
        </w:rPr>
        <w:t>承担</w:t>
      </w:r>
    </w:p>
    <w:p w14:paraId="30BA3D7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应承担所有与准备和参加</w:t>
      </w:r>
      <w:r>
        <w:rPr>
          <w:rFonts w:hint="eastAsia"/>
          <w:lang w:val="en-US" w:eastAsia="zh-CN"/>
        </w:rPr>
        <w:t>本次询比采购活动</w:t>
      </w:r>
      <w:r>
        <w:rPr>
          <w:rFonts w:hint="eastAsia"/>
        </w:rPr>
        <w:t>有关的费用</w:t>
      </w:r>
      <w:r>
        <w:rPr>
          <w:rFonts w:hint="eastAsia"/>
          <w:lang w:eastAsia="zh-CN"/>
        </w:rPr>
        <w:t>。</w:t>
      </w:r>
      <w:r>
        <w:rPr>
          <w:rFonts w:hint="eastAsia"/>
        </w:rPr>
        <w:t>无论结果如何</w:t>
      </w:r>
      <w:r>
        <w:rPr>
          <w:rFonts w:hint="eastAsia"/>
          <w:lang w:eastAsia="zh-CN"/>
        </w:rPr>
        <w:t>，</w:t>
      </w:r>
      <w:r>
        <w:rPr>
          <w:rFonts w:hint="eastAsia"/>
        </w:rPr>
        <w:t>或项目因故取消</w:t>
      </w:r>
      <w:r>
        <w:rPr>
          <w:rFonts w:hint="eastAsia"/>
          <w:lang w:eastAsia="zh-CN"/>
        </w:rPr>
        <w:t>，采购人</w:t>
      </w:r>
      <w:r>
        <w:rPr>
          <w:rFonts w:hint="eastAsia"/>
        </w:rPr>
        <w:t>和</w:t>
      </w:r>
      <w:r>
        <w:rPr>
          <w:rFonts w:hint="eastAsia"/>
          <w:lang w:val="en-US" w:eastAsia="zh-CN"/>
        </w:rPr>
        <w:t>采购平台</w:t>
      </w:r>
      <w:r>
        <w:rPr>
          <w:rFonts w:hint="eastAsia"/>
        </w:rPr>
        <w:t>对上述费用不承担任何责任和义务</w:t>
      </w:r>
      <w:r>
        <w:rPr>
          <w:rFonts w:hint="eastAsia"/>
          <w:lang w:eastAsia="zh-CN"/>
        </w:rPr>
        <w:t>。</w:t>
      </w:r>
    </w:p>
    <w:p w14:paraId="627CA80E">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8" w:name="_Toc247085695"/>
      <w:bookmarkStart w:id="9" w:name="_Toc296602426"/>
      <w:bookmarkStart w:id="10" w:name="_Toc152045536"/>
      <w:bookmarkStart w:id="11" w:name="_Toc144974504"/>
      <w:bookmarkStart w:id="12" w:name="_Toc246996181"/>
      <w:bookmarkStart w:id="13" w:name="_Toc179632553"/>
      <w:bookmarkStart w:id="14" w:name="_Toc152042312"/>
      <w:bookmarkStart w:id="15" w:name="_Toc246996924"/>
      <w:r>
        <w:rPr>
          <w:rFonts w:hint="eastAsia"/>
          <w:lang w:val="en-US" w:eastAsia="zh-CN"/>
        </w:rPr>
        <w:t>3</w:t>
      </w:r>
      <w:r>
        <w:rPr>
          <w:rFonts w:hint="eastAsia"/>
        </w:rPr>
        <w:t>.保密</w:t>
      </w:r>
      <w:bookmarkEnd w:id="8"/>
      <w:bookmarkEnd w:id="9"/>
      <w:bookmarkEnd w:id="10"/>
      <w:bookmarkEnd w:id="11"/>
      <w:bookmarkEnd w:id="12"/>
      <w:bookmarkEnd w:id="13"/>
      <w:bookmarkEnd w:id="14"/>
      <w:bookmarkEnd w:id="15"/>
    </w:p>
    <w:p w14:paraId="242A3C9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参与</w:t>
      </w:r>
      <w:r>
        <w:rPr>
          <w:rFonts w:hint="eastAsia"/>
          <w:lang w:eastAsia="zh-CN"/>
        </w:rPr>
        <w:t>询比</w:t>
      </w:r>
      <w:r>
        <w:rPr>
          <w:rFonts w:hint="eastAsia"/>
        </w:rPr>
        <w:t>活动的各方应对</w:t>
      </w:r>
      <w:r>
        <w:rPr>
          <w:rFonts w:hint="eastAsia"/>
          <w:lang w:eastAsia="zh-CN"/>
        </w:rPr>
        <w:t>询比</w:t>
      </w:r>
      <w:r>
        <w:rPr>
          <w:rFonts w:hint="eastAsia"/>
        </w:rPr>
        <w:t>文件和</w:t>
      </w:r>
      <w:r>
        <w:rPr>
          <w:rFonts w:hint="eastAsia"/>
          <w:lang w:eastAsia="zh-CN"/>
        </w:rPr>
        <w:t>响应文件</w:t>
      </w:r>
      <w:r>
        <w:rPr>
          <w:rFonts w:hint="eastAsia"/>
        </w:rPr>
        <w:t>中的商业和技术等秘密保密，违者应对由此造成的后果承担法律责任</w:t>
      </w:r>
      <w:r>
        <w:rPr>
          <w:rFonts w:hint="eastAsia"/>
          <w:lang w:eastAsia="zh-CN"/>
        </w:rPr>
        <w:t>。</w:t>
      </w:r>
      <w:r>
        <w:rPr>
          <w:rFonts w:hint="eastAsia"/>
        </w:rPr>
        <w:t xml:space="preserve"> </w:t>
      </w:r>
    </w:p>
    <w:p w14:paraId="6750558D">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6" w:name="_Toc144974505"/>
      <w:bookmarkStart w:id="17" w:name="_Toc247085696"/>
      <w:bookmarkStart w:id="18" w:name="_Toc246996182"/>
      <w:bookmarkStart w:id="19" w:name="_Toc246996925"/>
      <w:bookmarkStart w:id="20" w:name="_Toc179632554"/>
      <w:bookmarkStart w:id="21" w:name="_Toc296602427"/>
      <w:bookmarkStart w:id="22" w:name="_Toc152042313"/>
      <w:bookmarkStart w:id="23" w:name="_Toc152045537"/>
      <w:r>
        <w:rPr>
          <w:rFonts w:hint="eastAsia"/>
          <w:lang w:val="en-US" w:eastAsia="zh-CN"/>
        </w:rPr>
        <w:t>4</w:t>
      </w:r>
      <w:r>
        <w:rPr>
          <w:rFonts w:hint="eastAsia"/>
        </w:rPr>
        <w:t>.语言</w:t>
      </w:r>
      <w:bookmarkEnd w:id="16"/>
      <w:r>
        <w:rPr>
          <w:rFonts w:hint="eastAsia"/>
        </w:rPr>
        <w:t>文字</w:t>
      </w:r>
      <w:bookmarkEnd w:id="17"/>
      <w:bookmarkEnd w:id="18"/>
      <w:bookmarkEnd w:id="19"/>
      <w:bookmarkEnd w:id="20"/>
      <w:bookmarkEnd w:id="21"/>
      <w:bookmarkEnd w:id="22"/>
      <w:bookmarkEnd w:id="23"/>
    </w:p>
    <w:p w14:paraId="1E849E8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24" w:name="_Toc246996183"/>
      <w:bookmarkStart w:id="25" w:name="_Toc247085697"/>
      <w:bookmarkStart w:id="26" w:name="_Toc152042314"/>
      <w:bookmarkStart w:id="27" w:name="_Toc152045538"/>
      <w:bookmarkStart w:id="28" w:name="_Toc144974506"/>
      <w:bookmarkStart w:id="29" w:name="_Toc179632555"/>
      <w:bookmarkStart w:id="30" w:name="_Toc246996926"/>
      <w:r>
        <w:rPr>
          <w:rFonts w:hint="eastAsia"/>
          <w:lang w:eastAsia="zh-CN"/>
        </w:rPr>
        <w:t>询比响应文件</w:t>
      </w:r>
      <w:r>
        <w:rPr>
          <w:rFonts w:hint="eastAsia"/>
        </w:rPr>
        <w:t>使用的语言文字为中文</w:t>
      </w:r>
      <w:r>
        <w:rPr>
          <w:rFonts w:hint="eastAsia"/>
          <w:lang w:eastAsia="zh-CN"/>
        </w:rPr>
        <w:t>。</w:t>
      </w:r>
      <w:r>
        <w:rPr>
          <w:rFonts w:hint="eastAsia"/>
        </w:rPr>
        <w:t>专用术语使用外文的，应附有中文注释</w:t>
      </w:r>
      <w:r>
        <w:rPr>
          <w:rFonts w:hint="eastAsia"/>
          <w:lang w:eastAsia="zh-CN"/>
        </w:rPr>
        <w:t>。</w:t>
      </w:r>
    </w:p>
    <w:bookmarkEnd w:id="24"/>
    <w:bookmarkEnd w:id="25"/>
    <w:bookmarkEnd w:id="26"/>
    <w:bookmarkEnd w:id="27"/>
    <w:bookmarkEnd w:id="28"/>
    <w:bookmarkEnd w:id="29"/>
    <w:bookmarkEnd w:id="30"/>
    <w:p w14:paraId="0E216643">
      <w:pPr>
        <w:pStyle w:val="3"/>
        <w:pageBreakBefore w:val="0"/>
        <w:widowControl w:val="0"/>
        <w:kinsoku/>
        <w:wordWrap/>
        <w:overflowPunct/>
        <w:topLinePunct w:val="0"/>
        <w:autoSpaceDE/>
        <w:autoSpaceDN/>
        <w:bidi w:val="0"/>
        <w:adjustRightInd/>
        <w:snapToGrid/>
        <w:spacing w:line="240" w:lineRule="auto"/>
        <w:textAlignment w:val="auto"/>
        <w:rPr>
          <w:rFonts w:hint="eastAsia"/>
        </w:rPr>
      </w:pPr>
      <w:bookmarkStart w:id="31" w:name="_Toc296602432"/>
      <w:bookmarkStart w:id="32" w:name="_Toc152042318"/>
      <w:bookmarkStart w:id="33" w:name="_Toc144974510"/>
      <w:bookmarkStart w:id="34" w:name="_Toc246996930"/>
      <w:bookmarkStart w:id="35" w:name="_Toc247085701"/>
      <w:bookmarkStart w:id="36" w:name="_Toc246996187"/>
      <w:bookmarkStart w:id="37" w:name="_Toc179632560"/>
      <w:bookmarkStart w:id="38" w:name="_Toc152045542"/>
      <w:r>
        <w:rPr>
          <w:rFonts w:hint="eastAsia"/>
          <w:lang w:val="en-US" w:eastAsia="zh-CN"/>
        </w:rPr>
        <w:t>二</w:t>
      </w:r>
      <w:r>
        <w:rPr>
          <w:rFonts w:hint="eastAsia"/>
          <w:lang w:eastAsia="zh-CN"/>
        </w:rPr>
        <w:t>、询比</w:t>
      </w:r>
      <w:r>
        <w:rPr>
          <w:rFonts w:hint="eastAsia"/>
        </w:rPr>
        <w:t>文件</w:t>
      </w:r>
      <w:bookmarkEnd w:id="31"/>
      <w:bookmarkEnd w:id="32"/>
      <w:bookmarkEnd w:id="33"/>
      <w:bookmarkEnd w:id="34"/>
      <w:bookmarkEnd w:id="35"/>
      <w:bookmarkEnd w:id="36"/>
      <w:bookmarkEnd w:id="37"/>
      <w:bookmarkEnd w:id="38"/>
    </w:p>
    <w:p w14:paraId="5C8FCF89">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39" w:name="_Toc144974511"/>
      <w:bookmarkStart w:id="40" w:name="_Toc296602433"/>
      <w:bookmarkStart w:id="41" w:name="_Toc152042319"/>
      <w:bookmarkStart w:id="42" w:name="_Toc247085702"/>
      <w:bookmarkStart w:id="43" w:name="_Toc246996931"/>
      <w:bookmarkStart w:id="44" w:name="_Toc179632561"/>
      <w:bookmarkStart w:id="45" w:name="_Toc246996188"/>
      <w:bookmarkStart w:id="46" w:name="_Toc152045543"/>
      <w:r>
        <w:rPr>
          <w:rFonts w:hint="eastAsia"/>
          <w:lang w:val="en-US" w:eastAsia="zh-CN"/>
        </w:rPr>
        <w:t>5.</w:t>
      </w:r>
      <w:r>
        <w:rPr>
          <w:rFonts w:hint="eastAsia"/>
          <w:lang w:eastAsia="zh-CN"/>
        </w:rPr>
        <w:t>询比</w:t>
      </w:r>
      <w:r>
        <w:rPr>
          <w:rFonts w:hint="eastAsia"/>
        </w:rPr>
        <w:t>文件的组成</w:t>
      </w:r>
      <w:bookmarkEnd w:id="39"/>
      <w:bookmarkEnd w:id="40"/>
      <w:bookmarkEnd w:id="41"/>
      <w:bookmarkEnd w:id="42"/>
      <w:bookmarkEnd w:id="43"/>
      <w:bookmarkEnd w:id="44"/>
      <w:bookmarkEnd w:id="45"/>
      <w:bookmarkEnd w:id="46"/>
    </w:p>
    <w:p w14:paraId="0D59A86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应检查</w:t>
      </w:r>
      <w:r>
        <w:rPr>
          <w:rFonts w:hint="eastAsia"/>
          <w:lang w:eastAsia="zh-CN"/>
        </w:rPr>
        <w:t>询比</w:t>
      </w:r>
      <w:r>
        <w:rPr>
          <w:rFonts w:hint="eastAsia"/>
        </w:rPr>
        <w:t>文件中所有的须知、格式、条款、技术规格和其他资料</w:t>
      </w:r>
      <w:r>
        <w:rPr>
          <w:rFonts w:hint="eastAsia"/>
          <w:lang w:eastAsia="zh-CN"/>
        </w:rPr>
        <w:t>。</w:t>
      </w:r>
      <w:r>
        <w:rPr>
          <w:rFonts w:hint="eastAsia"/>
        </w:rPr>
        <w:t>如果</w:t>
      </w:r>
      <w:r>
        <w:rPr>
          <w:rFonts w:hint="eastAsia"/>
          <w:lang w:eastAsia="zh-CN"/>
        </w:rPr>
        <w:t>供应商</w:t>
      </w:r>
      <w:r>
        <w:rPr>
          <w:rFonts w:hint="eastAsia"/>
        </w:rPr>
        <w:t>没有按照</w:t>
      </w:r>
      <w:r>
        <w:rPr>
          <w:rFonts w:hint="eastAsia"/>
          <w:lang w:eastAsia="zh-CN"/>
        </w:rPr>
        <w:t>询比</w:t>
      </w:r>
      <w:r>
        <w:rPr>
          <w:rFonts w:hint="eastAsia"/>
        </w:rPr>
        <w:t>文件的要求提交全部资料，或者提交的资料没有对</w:t>
      </w:r>
      <w:r>
        <w:rPr>
          <w:rFonts w:hint="eastAsia"/>
          <w:lang w:eastAsia="zh-CN"/>
        </w:rPr>
        <w:t>询比</w:t>
      </w:r>
      <w:r>
        <w:rPr>
          <w:rFonts w:hint="eastAsia"/>
        </w:rPr>
        <w:t>文件在各方面作出实质性响应</w:t>
      </w:r>
      <w:r>
        <w:rPr>
          <w:rFonts w:hint="eastAsia"/>
          <w:lang w:eastAsia="zh-CN"/>
        </w:rPr>
        <w:t>，</w:t>
      </w:r>
      <w:r>
        <w:rPr>
          <w:rFonts w:hint="eastAsia"/>
        </w:rPr>
        <w:t>可能导致其</w:t>
      </w:r>
      <w:r>
        <w:rPr>
          <w:rFonts w:hint="eastAsia"/>
          <w:lang w:val="en-US" w:eastAsia="zh-CN"/>
        </w:rPr>
        <w:t>响应</w:t>
      </w:r>
      <w:r>
        <w:rPr>
          <w:rFonts w:hint="eastAsia"/>
        </w:rPr>
        <w:t>被拒绝</w:t>
      </w:r>
      <w:r>
        <w:rPr>
          <w:rFonts w:hint="eastAsia"/>
          <w:lang w:eastAsia="zh-CN"/>
        </w:rPr>
        <w:t>，</w:t>
      </w:r>
      <w:r>
        <w:rPr>
          <w:rFonts w:hint="eastAsia"/>
        </w:rPr>
        <w:t>该风险由</w:t>
      </w:r>
      <w:r>
        <w:rPr>
          <w:rFonts w:hint="eastAsia"/>
          <w:lang w:eastAsia="zh-CN"/>
        </w:rPr>
        <w:t>供应商</w:t>
      </w:r>
      <w:r>
        <w:rPr>
          <w:rFonts w:hint="eastAsia"/>
        </w:rPr>
        <w:t>承担</w:t>
      </w:r>
      <w:r>
        <w:rPr>
          <w:rFonts w:hint="eastAsia"/>
          <w:lang w:eastAsia="zh-CN"/>
        </w:rPr>
        <w:t>。</w:t>
      </w:r>
    </w:p>
    <w:p w14:paraId="605AB092">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47" w:name="_Toc152042320"/>
      <w:bookmarkStart w:id="48" w:name="_Toc179632562"/>
      <w:bookmarkStart w:id="49" w:name="_Toc246996932"/>
      <w:bookmarkStart w:id="50" w:name="_Toc144974512"/>
      <w:bookmarkStart w:id="51" w:name="_Toc247085703"/>
      <w:bookmarkStart w:id="52" w:name="_Toc152045544"/>
      <w:bookmarkStart w:id="53" w:name="_Toc246996189"/>
      <w:bookmarkStart w:id="54" w:name="_Toc296602434"/>
      <w:r>
        <w:rPr>
          <w:rFonts w:hint="eastAsia"/>
          <w:lang w:val="en-US" w:eastAsia="zh-CN"/>
        </w:rPr>
        <w:t>6.</w:t>
      </w:r>
      <w:r>
        <w:rPr>
          <w:rFonts w:hint="eastAsia"/>
          <w:lang w:eastAsia="zh-CN"/>
        </w:rPr>
        <w:t>询比</w:t>
      </w:r>
      <w:r>
        <w:rPr>
          <w:rFonts w:hint="eastAsia"/>
        </w:rPr>
        <w:t>文件的澄清</w:t>
      </w:r>
      <w:bookmarkEnd w:id="47"/>
      <w:bookmarkEnd w:id="48"/>
      <w:bookmarkEnd w:id="49"/>
      <w:bookmarkEnd w:id="50"/>
      <w:bookmarkEnd w:id="51"/>
      <w:bookmarkEnd w:id="52"/>
      <w:bookmarkEnd w:id="53"/>
      <w:bookmarkEnd w:id="54"/>
      <w:r>
        <w:rPr>
          <w:rFonts w:hint="eastAsia"/>
        </w:rPr>
        <w:t xml:space="preserve"> </w:t>
      </w:r>
    </w:p>
    <w:p w14:paraId="291954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6.1</w:t>
      </w:r>
      <w:r>
        <w:rPr>
          <w:rFonts w:hint="eastAsia"/>
          <w:lang w:eastAsia="zh-CN"/>
        </w:rPr>
        <w:t>供应商</w:t>
      </w:r>
      <w:r>
        <w:rPr>
          <w:rFonts w:hint="eastAsia"/>
        </w:rPr>
        <w:t>要求对</w:t>
      </w:r>
      <w:r>
        <w:rPr>
          <w:rFonts w:hint="eastAsia"/>
          <w:lang w:eastAsia="zh-CN"/>
        </w:rPr>
        <w:t>询比</w:t>
      </w:r>
      <w:r>
        <w:rPr>
          <w:rFonts w:hint="eastAsia"/>
        </w:rPr>
        <w:t>文件进行澄清的</w:t>
      </w:r>
      <w:r>
        <w:rPr>
          <w:rFonts w:hint="eastAsia"/>
          <w:lang w:eastAsia="zh-CN"/>
        </w:rPr>
        <w:t>，</w:t>
      </w:r>
      <w:r>
        <w:rPr>
          <w:rFonts w:hint="eastAsia"/>
        </w:rPr>
        <w:t>应以书面或扫描电邮方式通知</w:t>
      </w:r>
      <w:r>
        <w:rPr>
          <w:rFonts w:hint="eastAsia"/>
          <w:lang w:eastAsia="zh-CN"/>
        </w:rPr>
        <w:t>采购人</w:t>
      </w:r>
      <w:r>
        <w:rPr>
          <w:rFonts w:hint="eastAsia"/>
        </w:rPr>
        <w:t>/</w:t>
      </w:r>
      <w:r>
        <w:rPr>
          <w:rFonts w:hint="eastAsia"/>
          <w:lang w:val="en-US" w:eastAsia="zh-CN"/>
        </w:rPr>
        <w:t>采购平台</w:t>
      </w:r>
      <w:r>
        <w:rPr>
          <w:rFonts w:hint="eastAsia"/>
          <w:lang w:eastAsia="zh-CN"/>
        </w:rPr>
        <w:t>。</w:t>
      </w:r>
      <w:r>
        <w:rPr>
          <w:rFonts w:hint="eastAsia"/>
        </w:rPr>
        <w:t>对前附表规定的时间以前收到的对</w:t>
      </w:r>
      <w:r>
        <w:rPr>
          <w:rFonts w:hint="eastAsia"/>
          <w:lang w:eastAsia="zh-CN"/>
        </w:rPr>
        <w:t>询比</w:t>
      </w:r>
      <w:r>
        <w:rPr>
          <w:rFonts w:hint="eastAsia"/>
        </w:rPr>
        <w:t>文件的澄清要求</w:t>
      </w:r>
      <w:r>
        <w:rPr>
          <w:rFonts w:hint="eastAsia"/>
          <w:lang w:eastAsia="zh-CN"/>
        </w:rPr>
        <w:t>，采购人</w:t>
      </w:r>
      <w:r>
        <w:rPr>
          <w:rFonts w:hint="eastAsia"/>
        </w:rPr>
        <w:t>/</w:t>
      </w:r>
      <w:r>
        <w:rPr>
          <w:rFonts w:hint="eastAsia"/>
          <w:lang w:val="en-US" w:eastAsia="zh-CN"/>
        </w:rPr>
        <w:t>采购平台</w:t>
      </w:r>
      <w:r>
        <w:rPr>
          <w:rFonts w:hint="eastAsia"/>
        </w:rPr>
        <w:t>予以答复</w:t>
      </w:r>
      <w:r>
        <w:rPr>
          <w:rFonts w:hint="eastAsia"/>
          <w:lang w:eastAsia="zh-CN"/>
        </w:rPr>
        <w:t>。供应商</w:t>
      </w:r>
      <w:r>
        <w:rPr>
          <w:rFonts w:hint="eastAsia"/>
        </w:rPr>
        <w:t>应当在</w:t>
      </w:r>
      <w:r>
        <w:rPr>
          <w:rFonts w:hint="eastAsia"/>
          <w:lang w:eastAsia="zh-CN"/>
        </w:rPr>
        <w:t>响应</w:t>
      </w:r>
      <w:r>
        <w:rPr>
          <w:rFonts w:hint="eastAsia"/>
        </w:rPr>
        <w:t>截止时间之前自行查看</w:t>
      </w:r>
      <w:r>
        <w:rPr>
          <w:rFonts w:hint="eastAsia"/>
          <w:lang w:eastAsia="zh-CN"/>
        </w:rPr>
        <w:t>，</w:t>
      </w:r>
      <w:r>
        <w:rPr>
          <w:rFonts w:hint="eastAsia"/>
        </w:rPr>
        <w:t>如有遗漏</w:t>
      </w:r>
      <w:r>
        <w:rPr>
          <w:rFonts w:hint="eastAsia"/>
          <w:lang w:eastAsia="zh-CN"/>
        </w:rPr>
        <w:t>，供应商</w:t>
      </w:r>
      <w:r>
        <w:rPr>
          <w:rFonts w:hint="eastAsia"/>
        </w:rPr>
        <w:t>自行承担责任</w:t>
      </w:r>
      <w:r>
        <w:rPr>
          <w:rFonts w:hint="eastAsia"/>
          <w:lang w:eastAsia="zh-CN"/>
        </w:rPr>
        <w:t>。</w:t>
      </w:r>
    </w:p>
    <w:p w14:paraId="281F5F1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2312" w:hAnsi="方正仿宋_GB2312" w:eastAsia="方正仿宋_GB2312"/>
          <w:sz w:val="32"/>
          <w:szCs w:val="32"/>
        </w:rPr>
      </w:pPr>
      <w:r>
        <w:rPr>
          <w:rFonts w:hint="eastAsia"/>
          <w:lang w:val="en-US" w:eastAsia="zh-CN"/>
        </w:rPr>
        <w:t>6</w:t>
      </w:r>
      <w:r>
        <w:rPr>
          <w:rFonts w:hint="eastAsia"/>
        </w:rPr>
        <w:t>.2</w:t>
      </w:r>
      <w:r>
        <w:rPr>
          <w:rFonts w:hint="eastAsia"/>
          <w:lang w:eastAsia="zh-CN"/>
        </w:rPr>
        <w:t>供应商</w:t>
      </w:r>
      <w:r>
        <w:rPr>
          <w:rFonts w:hint="eastAsia"/>
        </w:rPr>
        <w:t>要求对</w:t>
      </w:r>
      <w:r>
        <w:rPr>
          <w:rFonts w:hint="eastAsia"/>
          <w:lang w:eastAsia="zh-CN"/>
        </w:rPr>
        <w:t>询比</w:t>
      </w:r>
      <w:r>
        <w:rPr>
          <w:rFonts w:hint="eastAsia"/>
        </w:rPr>
        <w:t>文件的澄清必须在</w:t>
      </w:r>
      <w:r>
        <w:rPr>
          <w:rFonts w:hint="eastAsia"/>
          <w:lang w:eastAsia="zh-CN"/>
        </w:rPr>
        <w:t>供应商</w:t>
      </w:r>
      <w:r>
        <w:rPr>
          <w:rFonts w:hint="eastAsia"/>
        </w:rPr>
        <w:t>须知前附表规定的时间内提出</w:t>
      </w:r>
      <w:r>
        <w:rPr>
          <w:rFonts w:hint="eastAsia"/>
          <w:lang w:eastAsia="zh-CN"/>
        </w:rPr>
        <w:t>。采购人</w:t>
      </w:r>
      <w:r>
        <w:rPr>
          <w:rFonts w:hint="eastAsia"/>
        </w:rPr>
        <w:t>/</w:t>
      </w:r>
      <w:r>
        <w:rPr>
          <w:rFonts w:hint="eastAsia"/>
          <w:lang w:val="en-US" w:eastAsia="zh-CN"/>
        </w:rPr>
        <w:t>采购平台</w:t>
      </w:r>
      <w:r>
        <w:rPr>
          <w:rFonts w:hint="eastAsia"/>
        </w:rPr>
        <w:t>有权不接收逾期提出的异议</w:t>
      </w:r>
      <w:r>
        <w:rPr>
          <w:rFonts w:hint="eastAsia"/>
          <w:lang w:eastAsia="zh-CN"/>
        </w:rPr>
        <w:t>。</w:t>
      </w:r>
      <w:r>
        <w:rPr>
          <w:rFonts w:hint="eastAsia" w:ascii="方正仿宋_GB2312" w:hAnsi="方正仿宋_GB2312" w:eastAsia="方正仿宋_GB2312"/>
          <w:sz w:val="32"/>
          <w:szCs w:val="32"/>
        </w:rPr>
        <w:t xml:space="preserve"> </w:t>
      </w:r>
    </w:p>
    <w:p w14:paraId="60493018">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55" w:name="_Toc246996933"/>
      <w:bookmarkStart w:id="56" w:name="_Toc144974513"/>
      <w:bookmarkStart w:id="57" w:name="_Toc179632563"/>
      <w:bookmarkStart w:id="58" w:name="_Toc247085704"/>
      <w:bookmarkStart w:id="59" w:name="_Toc152042321"/>
      <w:bookmarkStart w:id="60" w:name="_Toc246996190"/>
      <w:bookmarkStart w:id="61" w:name="_Toc152045545"/>
      <w:bookmarkStart w:id="62" w:name="_Toc296602435"/>
      <w:r>
        <w:rPr>
          <w:rFonts w:hint="eastAsia"/>
          <w:lang w:val="en-US" w:eastAsia="zh-CN"/>
        </w:rPr>
        <w:t>7.</w:t>
      </w:r>
      <w:r>
        <w:rPr>
          <w:rFonts w:hint="eastAsia"/>
          <w:lang w:eastAsia="zh-CN"/>
        </w:rPr>
        <w:t>询比</w:t>
      </w:r>
      <w:r>
        <w:rPr>
          <w:rFonts w:hint="eastAsia"/>
        </w:rPr>
        <w:t>文件的修改</w:t>
      </w:r>
      <w:bookmarkEnd w:id="55"/>
      <w:bookmarkEnd w:id="56"/>
      <w:bookmarkEnd w:id="57"/>
      <w:bookmarkEnd w:id="58"/>
      <w:bookmarkEnd w:id="59"/>
      <w:bookmarkEnd w:id="60"/>
      <w:bookmarkEnd w:id="61"/>
      <w:bookmarkEnd w:id="62"/>
    </w:p>
    <w:p w14:paraId="59BB718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.1</w:t>
      </w:r>
      <w:r>
        <w:rPr>
          <w:rFonts w:hint="eastAsia"/>
          <w:color w:val="000000" w:themeColor="text1"/>
          <w:lang w:eastAsia="zh-CN"/>
          <w14:textFill>
            <w14:solidFill>
              <w14:schemeClr w14:val="tx1"/>
            </w14:solidFill>
          </w14:textFill>
        </w:rPr>
        <w:t>采购人</w:t>
      </w:r>
      <w:r>
        <w:rPr>
          <w:rFonts w:hint="eastAsia"/>
          <w:color w:val="000000" w:themeColor="text1"/>
          <w14:textFill>
            <w14:solidFill>
              <w14:schemeClr w14:val="tx1"/>
            </w14:solidFill>
          </w14:textFill>
        </w:rPr>
        <w:t>或</w:t>
      </w:r>
      <w:r>
        <w:rPr>
          <w:rFonts w:hint="eastAsia"/>
          <w:color w:val="000000" w:themeColor="text1"/>
          <w:lang w:eastAsia="zh-CN"/>
          <w14:textFill>
            <w14:solidFill>
              <w14:schemeClr w14:val="tx1"/>
            </w14:solidFill>
          </w14:textFill>
        </w:rPr>
        <w:t>采购平台</w:t>
      </w:r>
      <w:r>
        <w:rPr>
          <w:rFonts w:hint="eastAsia"/>
          <w:color w:val="000000" w:themeColor="text1"/>
          <w14:textFill>
            <w14:solidFill>
              <w14:schemeClr w14:val="tx1"/>
            </w14:solidFill>
          </w14:textFill>
        </w:rPr>
        <w:t>可以因任何原因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w:t>
      </w:r>
      <w:r>
        <w:rPr>
          <w:rFonts w:hint="eastAsia"/>
          <w:color w:val="000000" w:themeColor="text1"/>
          <w:lang w:val="en-US" w:eastAsia="zh-CN"/>
          <w14:textFill>
            <w14:solidFill>
              <w14:schemeClr w14:val="tx1"/>
            </w14:solidFill>
          </w14:textFill>
        </w:rPr>
        <w:t>响应文件递交</w:t>
      </w:r>
      <w:r>
        <w:rPr>
          <w:rFonts w:hint="eastAsia"/>
          <w:color w:val="000000" w:themeColor="text1"/>
          <w14:textFill>
            <w14:solidFill>
              <w14:schemeClr w14:val="tx1"/>
            </w14:solidFill>
          </w14:textFill>
        </w:rPr>
        <w:t>截止期前对</w:t>
      </w:r>
      <w:r>
        <w:rPr>
          <w:rFonts w:hint="eastAsia"/>
          <w:color w:val="000000" w:themeColor="text1"/>
          <w:lang w:eastAsia="zh-CN"/>
          <w14:textFill>
            <w14:solidFill>
              <w14:schemeClr w14:val="tx1"/>
            </w14:solidFill>
          </w14:textFill>
        </w:rPr>
        <w:t>询比</w:t>
      </w:r>
      <w:r>
        <w:rPr>
          <w:rFonts w:hint="eastAsia"/>
          <w:color w:val="000000" w:themeColor="text1"/>
          <w14:textFill>
            <w14:solidFill>
              <w14:schemeClr w14:val="tx1"/>
            </w14:solidFill>
          </w14:textFill>
        </w:rPr>
        <w:t>文件进行修改</w:t>
      </w:r>
      <w:r>
        <w:rPr>
          <w:rFonts w:hint="eastAsia"/>
          <w:color w:val="000000" w:themeColor="text1"/>
          <w:lang w:eastAsia="zh-CN"/>
          <w14:textFill>
            <w14:solidFill>
              <w14:schemeClr w14:val="tx1"/>
            </w14:solidFill>
          </w14:textFill>
        </w:rPr>
        <w:t>，</w:t>
      </w:r>
      <w:r>
        <w:rPr>
          <w:rFonts w:hint="eastAsia"/>
          <w:b/>
          <w:bCs/>
          <w:color w:val="FF0000"/>
        </w:rPr>
        <w:t>并</w:t>
      </w:r>
      <w:r>
        <w:rPr>
          <w:rFonts w:hint="eastAsia"/>
          <w:b/>
          <w:bCs/>
          <w:color w:val="FF0000"/>
          <w:lang w:val="en-US" w:eastAsia="zh-CN"/>
        </w:rPr>
        <w:t>于平台发布澄清答疑公告，供应商应主动查询。采购人/采购平台不承担供应商未及时关注相关信息引发的相关责任</w:t>
      </w:r>
      <w:r>
        <w:rPr>
          <w:rFonts w:hint="eastAsia"/>
          <w:lang w:eastAsia="zh-CN"/>
        </w:rPr>
        <w:t>。</w:t>
      </w:r>
    </w:p>
    <w:p w14:paraId="0A9356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.2</w:t>
      </w:r>
      <w:r>
        <w:rPr>
          <w:rFonts w:hint="eastAsia"/>
          <w:lang w:eastAsia="zh-CN"/>
        </w:rPr>
        <w:t>询比</w:t>
      </w:r>
      <w:r>
        <w:rPr>
          <w:rFonts w:hint="eastAsia"/>
        </w:rPr>
        <w:t>文件的修改内容将作为</w:t>
      </w:r>
      <w:r>
        <w:rPr>
          <w:rFonts w:hint="eastAsia"/>
          <w:lang w:eastAsia="zh-CN"/>
        </w:rPr>
        <w:t>询比</w:t>
      </w:r>
      <w:r>
        <w:rPr>
          <w:rFonts w:hint="eastAsia"/>
        </w:rPr>
        <w:t>文件的组成部分</w:t>
      </w:r>
      <w:r>
        <w:rPr>
          <w:rFonts w:hint="eastAsia"/>
          <w:lang w:eastAsia="zh-CN"/>
        </w:rPr>
        <w:t>，</w:t>
      </w:r>
      <w:r>
        <w:rPr>
          <w:rFonts w:hint="eastAsia"/>
        </w:rPr>
        <w:t>对</w:t>
      </w:r>
      <w:r>
        <w:rPr>
          <w:rFonts w:hint="eastAsia"/>
          <w:lang w:eastAsia="zh-CN"/>
        </w:rPr>
        <w:t>供应商</w:t>
      </w:r>
      <w:r>
        <w:rPr>
          <w:rFonts w:hint="eastAsia"/>
        </w:rPr>
        <w:t>具有同样约束力</w:t>
      </w:r>
      <w:r>
        <w:rPr>
          <w:rFonts w:hint="eastAsia"/>
          <w:lang w:eastAsia="zh-CN"/>
        </w:rPr>
        <w:t>。</w:t>
      </w:r>
      <w:r>
        <w:rPr>
          <w:rFonts w:hint="eastAsia"/>
        </w:rPr>
        <w:t>当</w:t>
      </w:r>
      <w:r>
        <w:rPr>
          <w:rFonts w:hint="eastAsia"/>
          <w:lang w:eastAsia="zh-CN"/>
        </w:rPr>
        <w:t>询比</w:t>
      </w:r>
      <w:r>
        <w:rPr>
          <w:rFonts w:hint="eastAsia"/>
        </w:rPr>
        <w:t>文件的答疑、澄清、变更、通知或补充等在同一内容的表述上不一致时以最后发出的书面文件为准</w:t>
      </w:r>
      <w:r>
        <w:rPr>
          <w:rFonts w:hint="eastAsia"/>
          <w:lang w:eastAsia="zh-CN"/>
        </w:rPr>
        <w:t>。供应商</w:t>
      </w:r>
      <w:r>
        <w:rPr>
          <w:rFonts w:hint="eastAsia"/>
        </w:rPr>
        <w:t>应主动查询</w:t>
      </w:r>
      <w:r>
        <w:rPr>
          <w:rFonts w:hint="eastAsia"/>
          <w:lang w:eastAsia="zh-CN"/>
        </w:rPr>
        <w:t>。采购人</w:t>
      </w:r>
      <w:r>
        <w:rPr>
          <w:rFonts w:hint="eastAsia"/>
        </w:rPr>
        <w:t>/</w:t>
      </w:r>
      <w:r>
        <w:rPr>
          <w:rFonts w:hint="eastAsia"/>
          <w:lang w:eastAsia="zh-CN"/>
        </w:rPr>
        <w:t>采购平台</w:t>
      </w:r>
      <w:r>
        <w:rPr>
          <w:rFonts w:hint="eastAsia"/>
        </w:rPr>
        <w:t>不承担</w:t>
      </w:r>
      <w:r>
        <w:rPr>
          <w:rFonts w:hint="eastAsia"/>
          <w:lang w:eastAsia="zh-CN"/>
        </w:rPr>
        <w:t>供应商</w:t>
      </w:r>
      <w:r>
        <w:rPr>
          <w:rFonts w:hint="eastAsia"/>
        </w:rPr>
        <w:t>未及时关注相关信息引发的相关责任</w:t>
      </w:r>
      <w:r>
        <w:rPr>
          <w:rFonts w:hint="eastAsia"/>
          <w:lang w:eastAsia="zh-CN"/>
        </w:rPr>
        <w:t>。</w:t>
      </w:r>
    </w:p>
    <w:p w14:paraId="54B7BF96">
      <w:pPr>
        <w:keepNext w:val="0"/>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.3</w:t>
      </w:r>
      <w:r>
        <w:rPr>
          <w:rFonts w:hint="eastAsia"/>
          <w:lang w:eastAsia="zh-CN"/>
        </w:rPr>
        <w:t>询比</w:t>
      </w:r>
      <w:r>
        <w:rPr>
          <w:rFonts w:hint="eastAsia"/>
        </w:rPr>
        <w:t>文件的修改应考虑给予</w:t>
      </w:r>
      <w:r>
        <w:rPr>
          <w:rFonts w:hint="eastAsia"/>
          <w:lang w:eastAsia="zh-CN"/>
        </w:rPr>
        <w:t>供应商</w:t>
      </w:r>
      <w:r>
        <w:rPr>
          <w:rFonts w:hint="eastAsia"/>
        </w:rPr>
        <w:t>合理的时间制作相应的</w:t>
      </w:r>
      <w:r>
        <w:rPr>
          <w:rFonts w:hint="eastAsia"/>
          <w:lang w:eastAsia="zh-CN"/>
        </w:rPr>
        <w:t>响应文件。采购人</w:t>
      </w:r>
      <w:r>
        <w:rPr>
          <w:rFonts w:hint="eastAsia"/>
        </w:rPr>
        <w:t>/</w:t>
      </w:r>
      <w:r>
        <w:rPr>
          <w:rFonts w:hint="eastAsia"/>
          <w:lang w:val="en-US" w:eastAsia="zh-CN"/>
        </w:rPr>
        <w:t>采购平台</w:t>
      </w:r>
      <w:r>
        <w:rPr>
          <w:rFonts w:hint="eastAsia"/>
        </w:rPr>
        <w:t>可酌情延长</w:t>
      </w:r>
      <w:r>
        <w:rPr>
          <w:rFonts w:hint="eastAsia"/>
          <w:lang w:val="en-US" w:eastAsia="zh-CN"/>
        </w:rPr>
        <w:t>响应文件递交</w:t>
      </w:r>
      <w:r>
        <w:rPr>
          <w:rFonts w:hint="eastAsia"/>
        </w:rPr>
        <w:t>截止日期</w:t>
      </w:r>
      <w:r>
        <w:rPr>
          <w:rFonts w:hint="eastAsia"/>
          <w:lang w:eastAsia="zh-CN"/>
        </w:rPr>
        <w:t>，</w:t>
      </w:r>
      <w:bookmarkStart w:id="63" w:name="_Toc247085705"/>
      <w:bookmarkStart w:id="64" w:name="_Toc152042322"/>
      <w:bookmarkStart w:id="65" w:name="_Toc246996934"/>
      <w:bookmarkStart w:id="66" w:name="_Toc144974514"/>
      <w:bookmarkStart w:id="67" w:name="_Toc296602436"/>
      <w:bookmarkStart w:id="68" w:name="_Toc152045546"/>
      <w:bookmarkStart w:id="69" w:name="_Toc179632564"/>
      <w:bookmarkStart w:id="70" w:name="_Toc246996191"/>
      <w:r>
        <w:rPr>
          <w:rFonts w:hint="eastAsia"/>
          <w:b/>
          <w:bCs/>
          <w:color w:val="FF0000"/>
          <w:lang w:val="en-US" w:eastAsia="zh-CN"/>
        </w:rPr>
        <w:t>平台如发布延期公告，供应商应主动查询。采购人/采购平台不承担供应商未及时关注相关信息引发的相关责任</w:t>
      </w:r>
      <w:r>
        <w:rPr>
          <w:rFonts w:hint="eastAsia"/>
          <w:lang w:eastAsia="zh-CN"/>
        </w:rPr>
        <w:t>。</w:t>
      </w:r>
    </w:p>
    <w:p w14:paraId="49D07759">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三、</w:t>
      </w:r>
      <w:bookmarkEnd w:id="63"/>
      <w:bookmarkEnd w:id="64"/>
      <w:bookmarkEnd w:id="65"/>
      <w:bookmarkEnd w:id="66"/>
      <w:bookmarkEnd w:id="67"/>
      <w:bookmarkEnd w:id="68"/>
      <w:bookmarkEnd w:id="69"/>
      <w:bookmarkEnd w:id="70"/>
      <w:r>
        <w:rPr>
          <w:rFonts w:hint="eastAsia"/>
          <w:lang w:eastAsia="zh-CN"/>
        </w:rPr>
        <w:t>响应文件</w:t>
      </w:r>
    </w:p>
    <w:p w14:paraId="63973300">
      <w:pPr>
        <w:pStyle w:val="4"/>
        <w:pageBreakBefore w:val="0"/>
        <w:widowControl w:val="0"/>
        <w:kinsoku/>
        <w:wordWrap/>
        <w:overflowPunct/>
        <w:topLinePunct w:val="0"/>
        <w:autoSpaceDE/>
        <w:autoSpaceDN/>
        <w:bidi w:val="0"/>
        <w:adjustRightInd/>
        <w:snapToGrid/>
        <w:spacing w:before="0" w:beforeAutospacing="0" w:line="240" w:lineRule="auto"/>
        <w:textAlignment w:val="auto"/>
        <w:rPr>
          <w:rFonts w:hint="eastAsia"/>
        </w:rPr>
      </w:pPr>
      <w:bookmarkStart w:id="71" w:name="_Toc296602437"/>
      <w:bookmarkStart w:id="72" w:name="_Toc152042323"/>
      <w:bookmarkStart w:id="73" w:name="_Toc179632565"/>
      <w:bookmarkStart w:id="74" w:name="_Toc246996935"/>
      <w:bookmarkStart w:id="75" w:name="_Toc246996192"/>
      <w:bookmarkStart w:id="76" w:name="_Toc144974515"/>
      <w:bookmarkStart w:id="77" w:name="_Toc247085706"/>
      <w:bookmarkStart w:id="78" w:name="_Toc152045547"/>
      <w:r>
        <w:rPr>
          <w:rFonts w:hint="eastAsia"/>
          <w:lang w:val="en-US" w:eastAsia="zh-CN"/>
        </w:rPr>
        <w:t>8.</w:t>
      </w:r>
      <w:r>
        <w:rPr>
          <w:rFonts w:hint="eastAsia"/>
          <w:lang w:eastAsia="zh-CN"/>
        </w:rPr>
        <w:t>响应文件</w:t>
      </w:r>
      <w:r>
        <w:rPr>
          <w:rFonts w:hint="eastAsia"/>
        </w:rPr>
        <w:t>的</w:t>
      </w:r>
      <w:r>
        <w:rPr>
          <w:rFonts w:hint="eastAsia"/>
          <w:lang w:val="en-US" w:eastAsia="zh-CN"/>
        </w:rPr>
        <w:t>构</w:t>
      </w:r>
      <w:r>
        <w:rPr>
          <w:rFonts w:hint="eastAsia"/>
        </w:rPr>
        <w:t>成</w:t>
      </w:r>
      <w:bookmarkEnd w:id="71"/>
      <w:bookmarkEnd w:id="72"/>
      <w:bookmarkEnd w:id="73"/>
      <w:bookmarkEnd w:id="74"/>
      <w:bookmarkEnd w:id="75"/>
      <w:bookmarkEnd w:id="76"/>
      <w:bookmarkEnd w:id="77"/>
      <w:bookmarkEnd w:id="78"/>
    </w:p>
    <w:p w14:paraId="06DF46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w:t>
      </w:r>
      <w:r>
        <w:rPr>
          <w:rFonts w:hint="eastAsia"/>
          <w:lang w:val="en-US" w:eastAsia="zh-CN"/>
        </w:rPr>
        <w:t>1</w:t>
      </w:r>
      <w:r>
        <w:rPr>
          <w:rFonts w:hint="eastAsia"/>
          <w:lang w:eastAsia="zh-CN"/>
        </w:rPr>
        <w:t>响应文件</w:t>
      </w:r>
      <w:r>
        <w:rPr>
          <w:rFonts w:hint="eastAsia"/>
        </w:rPr>
        <w:t>的构成</w:t>
      </w:r>
      <w:r>
        <w:rPr>
          <w:rFonts w:hint="eastAsia"/>
          <w:lang w:eastAsia="zh-CN"/>
        </w:rPr>
        <w:t>：</w:t>
      </w:r>
      <w:r>
        <w:rPr>
          <w:rFonts w:hint="eastAsia"/>
          <w:lang w:val="en-US" w:eastAsia="zh-CN"/>
        </w:rPr>
        <w:t>供应商</w:t>
      </w:r>
      <w:r>
        <w:rPr>
          <w:rFonts w:hint="eastAsia"/>
        </w:rPr>
        <w:t>应按照</w:t>
      </w:r>
      <w:r>
        <w:rPr>
          <w:rFonts w:hint="eastAsia"/>
          <w:lang w:eastAsia="zh-CN"/>
        </w:rPr>
        <w:t>响应文件</w:t>
      </w:r>
      <w:r>
        <w:rPr>
          <w:rFonts w:hint="eastAsia"/>
        </w:rPr>
        <w:t>格式的要求装订并连续编写页码</w:t>
      </w:r>
      <w:r>
        <w:rPr>
          <w:rFonts w:hint="eastAsia"/>
          <w:lang w:eastAsia="zh-CN"/>
        </w:rPr>
        <w:t>，</w:t>
      </w:r>
      <w:r>
        <w:rPr>
          <w:rFonts w:hint="eastAsia"/>
        </w:rPr>
        <w:t>认真按照格式填写全部内容</w:t>
      </w:r>
      <w:r>
        <w:rPr>
          <w:rFonts w:hint="eastAsia"/>
          <w:lang w:eastAsia="zh-CN"/>
        </w:rPr>
        <w:t>。</w:t>
      </w:r>
    </w:p>
    <w:p w14:paraId="507A3A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注</w:t>
      </w:r>
      <w:r>
        <w:rPr>
          <w:rFonts w:hint="eastAsia"/>
          <w:lang w:eastAsia="zh-CN"/>
        </w:rPr>
        <w:t>：响应文件</w:t>
      </w:r>
      <w:r>
        <w:rPr>
          <w:rFonts w:hint="eastAsia"/>
        </w:rPr>
        <w:t>如未按照本条要求提供相应材料可能导致其</w:t>
      </w:r>
      <w:r>
        <w:rPr>
          <w:rFonts w:hint="eastAsia"/>
          <w:lang w:val="en-US" w:eastAsia="zh-CN"/>
        </w:rPr>
        <w:t>响应</w:t>
      </w:r>
      <w:r>
        <w:rPr>
          <w:rFonts w:hint="eastAsia"/>
        </w:rPr>
        <w:t>被否决</w:t>
      </w:r>
      <w:r>
        <w:rPr>
          <w:rFonts w:hint="eastAsia"/>
          <w:lang w:eastAsia="zh-CN"/>
        </w:rPr>
        <w:t>。</w:t>
      </w:r>
    </w:p>
    <w:p w14:paraId="1C7B4F4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2如</w:t>
      </w:r>
      <w:r>
        <w:rPr>
          <w:rFonts w:hint="eastAsia"/>
          <w:lang w:eastAsia="zh-CN"/>
        </w:rPr>
        <w:t>供应商</w:t>
      </w:r>
      <w:r>
        <w:rPr>
          <w:rFonts w:hint="eastAsia"/>
        </w:rPr>
        <w:t>无详细说明对</w:t>
      </w:r>
      <w:r>
        <w:rPr>
          <w:rFonts w:hint="eastAsia"/>
          <w:lang w:eastAsia="zh-CN"/>
        </w:rPr>
        <w:t>询比</w:t>
      </w:r>
      <w:r>
        <w:rPr>
          <w:rFonts w:hint="eastAsia"/>
        </w:rPr>
        <w:t>文件的商务和技术不响应或者没有填写商务技术偏离表</w:t>
      </w:r>
      <w:r>
        <w:rPr>
          <w:rFonts w:hint="eastAsia"/>
          <w:lang w:eastAsia="zh-CN"/>
        </w:rPr>
        <w:t>，</w:t>
      </w:r>
      <w:r>
        <w:rPr>
          <w:rFonts w:hint="eastAsia"/>
        </w:rPr>
        <w:t>则视为</w:t>
      </w:r>
      <w:r>
        <w:rPr>
          <w:rFonts w:hint="eastAsia"/>
          <w:lang w:eastAsia="zh-CN"/>
        </w:rPr>
        <w:t>供应商</w:t>
      </w:r>
      <w:r>
        <w:rPr>
          <w:rFonts w:hint="eastAsia"/>
        </w:rPr>
        <w:t>默认响应</w:t>
      </w:r>
      <w:r>
        <w:rPr>
          <w:rFonts w:hint="eastAsia"/>
          <w:lang w:eastAsia="zh-CN"/>
        </w:rPr>
        <w:t>询比</w:t>
      </w:r>
      <w:r>
        <w:rPr>
          <w:rFonts w:hint="eastAsia"/>
        </w:rPr>
        <w:t>文件的商务和技术全部要求</w:t>
      </w:r>
      <w:r>
        <w:rPr>
          <w:rFonts w:hint="eastAsia"/>
          <w:lang w:eastAsia="zh-CN"/>
        </w:rPr>
        <w:t>。</w:t>
      </w:r>
    </w:p>
    <w:p w14:paraId="0805A91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lang w:eastAsia="zh-CN"/>
        </w:rPr>
        <w:t>.</w:t>
      </w:r>
      <w:r>
        <w:rPr>
          <w:rFonts w:hint="eastAsia"/>
        </w:rPr>
        <w:t>3所提供的全部文件应是真实的、可靠的、在有效期内的</w:t>
      </w:r>
      <w:r>
        <w:rPr>
          <w:rFonts w:hint="eastAsia"/>
          <w:lang w:eastAsia="zh-CN"/>
        </w:rPr>
        <w:t>。</w:t>
      </w:r>
      <w:r>
        <w:rPr>
          <w:rFonts w:hint="eastAsia"/>
        </w:rPr>
        <w:t>如经审查</w:t>
      </w:r>
      <w:r>
        <w:rPr>
          <w:rFonts w:hint="eastAsia"/>
          <w:lang w:val="en-US" w:eastAsia="zh-CN"/>
        </w:rPr>
        <w:t>供应商</w:t>
      </w:r>
      <w:r>
        <w:rPr>
          <w:rFonts w:hint="eastAsia"/>
        </w:rPr>
        <w:t>有</w:t>
      </w:r>
      <w:r>
        <w:rPr>
          <w:rFonts w:hint="eastAsia"/>
          <w:b/>
          <w:bCs/>
          <w:i w:val="0"/>
          <w:iCs w:val="0"/>
          <w:color w:val="FF0000"/>
          <w:lang w:val="en-US" w:eastAsia="zh-CN"/>
        </w:rPr>
        <w:t>虚报瞒报</w:t>
      </w:r>
      <w:r>
        <w:rPr>
          <w:rFonts w:hint="eastAsia"/>
        </w:rPr>
        <w:t>行为的</w:t>
      </w:r>
      <w:r>
        <w:rPr>
          <w:rFonts w:hint="eastAsia"/>
          <w:lang w:eastAsia="zh-CN"/>
        </w:rPr>
        <w:t>，</w:t>
      </w:r>
      <w:r>
        <w:rPr>
          <w:rFonts w:hint="eastAsia"/>
        </w:rPr>
        <w:t>视其</w:t>
      </w:r>
      <w:r>
        <w:rPr>
          <w:rFonts w:hint="eastAsia"/>
          <w:lang w:eastAsia="zh-CN"/>
        </w:rPr>
        <w:t>响应</w:t>
      </w:r>
      <w:r>
        <w:rPr>
          <w:rFonts w:hint="eastAsia"/>
        </w:rPr>
        <w:t>无效并不予退还</w:t>
      </w:r>
      <w:r>
        <w:rPr>
          <w:rFonts w:hint="eastAsia"/>
          <w:lang w:eastAsia="zh-CN"/>
        </w:rPr>
        <w:t>响应担保。</w:t>
      </w:r>
    </w:p>
    <w:p w14:paraId="6F7FE7B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.4不接受电话、传真等形式的</w:t>
      </w:r>
      <w:r>
        <w:rPr>
          <w:rFonts w:hint="eastAsia"/>
          <w:lang w:eastAsia="zh-CN"/>
        </w:rPr>
        <w:t>响应，响应文件</w:t>
      </w:r>
      <w:r>
        <w:rPr>
          <w:rFonts w:hint="eastAsia"/>
        </w:rPr>
        <w:t>不退回</w:t>
      </w:r>
      <w:r>
        <w:rPr>
          <w:rFonts w:hint="eastAsia"/>
          <w:lang w:eastAsia="zh-CN"/>
        </w:rPr>
        <w:t>。</w:t>
      </w:r>
    </w:p>
    <w:p w14:paraId="147A0FDC">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Theme="minorEastAsia"/>
          <w:sz w:val="21"/>
          <w:szCs w:val="21"/>
          <w:lang w:eastAsia="zh-CN"/>
        </w:rPr>
      </w:pPr>
      <w:bookmarkStart w:id="79" w:name="_Toc179632566"/>
      <w:bookmarkStart w:id="80" w:name="_Toc246996193"/>
      <w:bookmarkStart w:id="81" w:name="_Toc152042324"/>
      <w:bookmarkStart w:id="82" w:name="_Toc144974516"/>
      <w:bookmarkStart w:id="83" w:name="_Toc246996936"/>
      <w:bookmarkStart w:id="84" w:name="_Toc152045548"/>
      <w:bookmarkStart w:id="85" w:name="_Toc296602438"/>
      <w:bookmarkStart w:id="86" w:name="_Toc247085707"/>
      <w:r>
        <w:rPr>
          <w:rFonts w:hint="eastAsia"/>
          <w:lang w:val="en-US" w:eastAsia="zh-CN"/>
        </w:rPr>
        <w:t>9.</w:t>
      </w:r>
      <w:bookmarkEnd w:id="79"/>
      <w:bookmarkEnd w:id="80"/>
      <w:bookmarkEnd w:id="81"/>
      <w:bookmarkEnd w:id="82"/>
      <w:bookmarkEnd w:id="83"/>
      <w:bookmarkEnd w:id="84"/>
      <w:bookmarkEnd w:id="85"/>
      <w:bookmarkEnd w:id="86"/>
      <w:r>
        <w:rPr>
          <w:rFonts w:hint="eastAsia"/>
          <w:lang w:val="en-US" w:eastAsia="zh-CN"/>
        </w:rPr>
        <w:t>响应价格</w:t>
      </w:r>
    </w:p>
    <w:p w14:paraId="01FE2A9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87" w:name="_Toc152042325"/>
      <w:bookmarkStart w:id="88" w:name="_Toc144974517"/>
      <w:bookmarkStart w:id="89" w:name="_Toc152045549"/>
      <w:bookmarkStart w:id="90" w:name="_Toc179632567"/>
      <w:r>
        <w:rPr>
          <w:rFonts w:hint="eastAsia"/>
          <w:lang w:val="en-US" w:eastAsia="zh-CN"/>
        </w:rPr>
        <w:t>9</w:t>
      </w:r>
      <w:r>
        <w:rPr>
          <w:rFonts w:hint="eastAsia"/>
        </w:rPr>
        <w:t>.1</w:t>
      </w:r>
      <w:r>
        <w:rPr>
          <w:rFonts w:hint="eastAsia"/>
          <w:lang w:val="en-US" w:eastAsia="zh-CN"/>
        </w:rPr>
        <w:t>响应</w:t>
      </w:r>
      <w:r>
        <w:rPr>
          <w:rFonts w:hint="eastAsia"/>
        </w:rPr>
        <w:t>报价为签订合同总价</w:t>
      </w:r>
      <w:r>
        <w:rPr>
          <w:rFonts w:hint="eastAsia"/>
          <w:lang w:eastAsia="zh-CN"/>
        </w:rPr>
        <w:t>，</w:t>
      </w:r>
      <w:r>
        <w:rPr>
          <w:rFonts w:hint="eastAsia"/>
        </w:rPr>
        <w:t>如分项报价中存在缺漏项</w:t>
      </w:r>
      <w:r>
        <w:rPr>
          <w:rFonts w:hint="eastAsia"/>
          <w:lang w:eastAsia="zh-CN"/>
        </w:rPr>
        <w:t>，</w:t>
      </w:r>
      <w:r>
        <w:rPr>
          <w:rFonts w:hint="eastAsia"/>
        </w:rPr>
        <w:t>则视为缺漏项价格已包含在其他分项报价之中</w:t>
      </w:r>
      <w:r>
        <w:rPr>
          <w:rFonts w:hint="eastAsia"/>
          <w:lang w:eastAsia="zh-CN"/>
        </w:rPr>
        <w:t>。供应商</w:t>
      </w:r>
      <w:r>
        <w:rPr>
          <w:rFonts w:hint="eastAsia"/>
        </w:rPr>
        <w:t>不接受此种修正</w:t>
      </w:r>
      <w:r>
        <w:rPr>
          <w:rFonts w:hint="eastAsia"/>
          <w:lang w:eastAsia="zh-CN"/>
        </w:rPr>
        <w:t>，评审委员会</w:t>
      </w:r>
      <w:r>
        <w:rPr>
          <w:rFonts w:hint="eastAsia"/>
        </w:rPr>
        <w:t>有权否决其</w:t>
      </w:r>
      <w:r>
        <w:rPr>
          <w:rFonts w:hint="eastAsia"/>
          <w:lang w:eastAsia="zh-CN"/>
        </w:rPr>
        <w:t>响应（</w:t>
      </w:r>
      <w:r>
        <w:rPr>
          <w:rFonts w:hint="eastAsia"/>
        </w:rPr>
        <w:t>免费赠送部分除外</w:t>
      </w:r>
      <w:r>
        <w:rPr>
          <w:rFonts w:hint="eastAsia"/>
          <w:lang w:eastAsia="zh-CN"/>
        </w:rPr>
        <w:t>）。</w:t>
      </w:r>
    </w:p>
    <w:p w14:paraId="1A14D23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.2</w:t>
      </w:r>
      <w:r>
        <w:rPr>
          <w:rFonts w:hint="eastAsia"/>
          <w:lang w:eastAsia="zh-CN"/>
        </w:rPr>
        <w:t>供应商</w:t>
      </w:r>
      <w:r>
        <w:rPr>
          <w:rFonts w:hint="eastAsia"/>
        </w:rPr>
        <w:t>应按照</w:t>
      </w:r>
      <w:r>
        <w:rPr>
          <w:rFonts w:hint="eastAsia"/>
          <w:lang w:eastAsia="zh-CN"/>
        </w:rPr>
        <w:t>询比</w:t>
      </w:r>
      <w:r>
        <w:rPr>
          <w:rFonts w:hint="eastAsia"/>
        </w:rPr>
        <w:t>文件规定的商务、合同和技术责任进行报价</w:t>
      </w:r>
      <w:r>
        <w:rPr>
          <w:rFonts w:hint="eastAsia"/>
          <w:lang w:eastAsia="zh-CN"/>
        </w:rPr>
        <w:t>。</w:t>
      </w:r>
      <w:r>
        <w:rPr>
          <w:rFonts w:hint="eastAsia"/>
        </w:rPr>
        <w:t>如</w:t>
      </w:r>
      <w:r>
        <w:rPr>
          <w:rFonts w:hint="eastAsia"/>
          <w:lang w:eastAsia="zh-CN"/>
        </w:rPr>
        <w:t>响应</w:t>
      </w:r>
      <w:r>
        <w:rPr>
          <w:rFonts w:hint="eastAsia"/>
        </w:rPr>
        <w:t>作出商务和技术的偏离</w:t>
      </w:r>
      <w:r>
        <w:rPr>
          <w:rFonts w:hint="eastAsia"/>
          <w:lang w:eastAsia="zh-CN"/>
        </w:rPr>
        <w:t>，</w:t>
      </w:r>
      <w:r>
        <w:rPr>
          <w:rFonts w:hint="eastAsia"/>
        </w:rPr>
        <w:t>应在相应偏离表中列出</w:t>
      </w:r>
      <w:r>
        <w:rPr>
          <w:rFonts w:hint="eastAsia"/>
          <w:lang w:eastAsia="zh-CN"/>
        </w:rPr>
        <w:t>，</w:t>
      </w:r>
      <w:r>
        <w:rPr>
          <w:rFonts w:hint="eastAsia"/>
        </w:rPr>
        <w:t>并提供由于偏离所引起的价格差异</w:t>
      </w:r>
      <w:r>
        <w:rPr>
          <w:rFonts w:hint="eastAsia"/>
          <w:lang w:eastAsia="zh-CN"/>
        </w:rPr>
        <w:t>。</w:t>
      </w:r>
      <w:r>
        <w:rPr>
          <w:rFonts w:hint="eastAsia"/>
        </w:rPr>
        <w:t>不提供商务和技术偏离表的</w:t>
      </w:r>
      <w:r>
        <w:rPr>
          <w:rFonts w:hint="eastAsia"/>
          <w:lang w:eastAsia="zh-CN"/>
        </w:rPr>
        <w:t>，</w:t>
      </w:r>
      <w:r>
        <w:rPr>
          <w:rFonts w:hint="eastAsia"/>
        </w:rPr>
        <w:t>视为全部满足本</w:t>
      </w:r>
      <w:r>
        <w:rPr>
          <w:rFonts w:hint="eastAsia"/>
          <w:lang w:eastAsia="zh-CN"/>
        </w:rPr>
        <w:t>询比</w:t>
      </w:r>
      <w:r>
        <w:rPr>
          <w:rFonts w:hint="eastAsia"/>
        </w:rPr>
        <w:t>文件的要求</w:t>
      </w:r>
      <w:r>
        <w:rPr>
          <w:rFonts w:hint="eastAsia"/>
          <w:lang w:eastAsia="zh-CN"/>
        </w:rPr>
        <w:t>。</w:t>
      </w:r>
    </w:p>
    <w:p w14:paraId="4ED812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.3</w:t>
      </w:r>
      <w:r>
        <w:rPr>
          <w:rFonts w:hint="eastAsia"/>
          <w:lang w:eastAsia="zh-CN"/>
        </w:rPr>
        <w:t>供应商</w:t>
      </w:r>
      <w:r>
        <w:rPr>
          <w:rFonts w:hint="eastAsia"/>
        </w:rPr>
        <w:t>所报的价格在合同执行过程中是固定的</w:t>
      </w:r>
      <w:r>
        <w:rPr>
          <w:rFonts w:hint="eastAsia"/>
          <w:lang w:eastAsia="zh-CN"/>
        </w:rPr>
        <w:t>，</w:t>
      </w:r>
      <w:r>
        <w:rPr>
          <w:rFonts w:hint="eastAsia"/>
        </w:rPr>
        <w:t>不得以任何理由予以变更</w:t>
      </w:r>
      <w:r>
        <w:rPr>
          <w:rFonts w:hint="eastAsia"/>
          <w:lang w:eastAsia="zh-CN"/>
        </w:rPr>
        <w:t>。</w:t>
      </w:r>
    </w:p>
    <w:p w14:paraId="2B21E1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w:t>
      </w:r>
      <w:r>
        <w:rPr>
          <w:rFonts w:hint="eastAsia"/>
          <w:lang w:val="en-US" w:eastAsia="zh-CN"/>
        </w:rPr>
        <w:t>4</w:t>
      </w:r>
      <w:r>
        <w:rPr>
          <w:rFonts w:hint="eastAsia"/>
        </w:rPr>
        <w:t>最低报价不能作为</w:t>
      </w:r>
      <w:r>
        <w:rPr>
          <w:rFonts w:hint="eastAsia"/>
          <w:lang w:val="en-US" w:eastAsia="zh-CN"/>
        </w:rPr>
        <w:t>成交</w:t>
      </w:r>
      <w:r>
        <w:rPr>
          <w:rFonts w:hint="eastAsia"/>
        </w:rPr>
        <w:t>的保证</w:t>
      </w:r>
      <w:r>
        <w:rPr>
          <w:rFonts w:hint="eastAsia"/>
          <w:lang w:eastAsia="zh-CN"/>
        </w:rPr>
        <w:t>。</w:t>
      </w:r>
    </w:p>
    <w:p w14:paraId="3F3FA8F5">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91" w:name="_Toc296602439"/>
      <w:bookmarkStart w:id="92" w:name="_Toc246996194"/>
      <w:bookmarkStart w:id="93" w:name="_Toc246996937"/>
      <w:bookmarkStart w:id="94" w:name="_Toc247085708"/>
      <w:r>
        <w:rPr>
          <w:rFonts w:hint="eastAsia"/>
          <w:lang w:val="en-US" w:eastAsia="zh-CN"/>
        </w:rPr>
        <w:t>10.</w:t>
      </w:r>
      <w:bookmarkEnd w:id="87"/>
      <w:bookmarkEnd w:id="88"/>
      <w:bookmarkEnd w:id="89"/>
      <w:bookmarkEnd w:id="90"/>
      <w:bookmarkEnd w:id="91"/>
      <w:bookmarkEnd w:id="92"/>
      <w:bookmarkEnd w:id="93"/>
      <w:bookmarkEnd w:id="94"/>
      <w:r>
        <w:rPr>
          <w:rFonts w:hint="eastAsia"/>
          <w:lang w:val="en-US" w:eastAsia="zh-CN"/>
        </w:rPr>
        <w:t>响应担保</w:t>
      </w:r>
    </w:p>
    <w:p w14:paraId="6DA76A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.1 </w:t>
      </w:r>
      <w:r>
        <w:rPr>
          <w:rFonts w:hint="eastAsia"/>
          <w:lang w:eastAsia="zh-CN"/>
        </w:rPr>
        <w:t>供应商</w:t>
      </w:r>
      <w:r>
        <w:rPr>
          <w:rFonts w:hint="eastAsia"/>
        </w:rPr>
        <w:t>应按照</w:t>
      </w:r>
      <w:r>
        <w:rPr>
          <w:rFonts w:hint="eastAsia"/>
          <w:lang w:eastAsia="zh-CN"/>
        </w:rPr>
        <w:t>询比</w:t>
      </w:r>
      <w:r>
        <w:rPr>
          <w:rFonts w:hint="eastAsia"/>
        </w:rPr>
        <w:t>文件的相关规定提交</w:t>
      </w:r>
      <w:r>
        <w:rPr>
          <w:rFonts w:hint="eastAsia"/>
          <w:lang w:eastAsia="zh-CN"/>
        </w:rPr>
        <w:t>响应担保，</w:t>
      </w:r>
      <w:r>
        <w:rPr>
          <w:rFonts w:hint="eastAsia"/>
        </w:rPr>
        <w:t>并作为其</w:t>
      </w:r>
      <w:r>
        <w:rPr>
          <w:rFonts w:hint="eastAsia"/>
          <w:lang w:eastAsia="zh-CN"/>
        </w:rPr>
        <w:t>响应文件</w:t>
      </w:r>
      <w:r>
        <w:rPr>
          <w:rFonts w:hint="eastAsia"/>
        </w:rPr>
        <w:t>的组成部分</w:t>
      </w:r>
      <w:r>
        <w:rPr>
          <w:rFonts w:hint="eastAsia"/>
          <w:lang w:eastAsia="zh-CN"/>
        </w:rPr>
        <w:t>。</w:t>
      </w:r>
    </w:p>
    <w:p w14:paraId="5765B5B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.2 </w:t>
      </w:r>
      <w:r>
        <w:rPr>
          <w:rFonts w:hint="eastAsia"/>
          <w:lang w:eastAsia="zh-CN"/>
        </w:rPr>
        <w:t>供应商</w:t>
      </w:r>
      <w:r>
        <w:rPr>
          <w:rFonts w:hint="eastAsia"/>
        </w:rPr>
        <w:t>以现金方式提交</w:t>
      </w:r>
      <w:r>
        <w:rPr>
          <w:rFonts w:hint="eastAsia"/>
          <w:lang w:eastAsia="zh-CN"/>
        </w:rPr>
        <w:t>响应担保</w:t>
      </w:r>
      <w:r>
        <w:rPr>
          <w:rFonts w:hint="eastAsia"/>
        </w:rPr>
        <w:t>的</w:t>
      </w:r>
      <w:r>
        <w:rPr>
          <w:rFonts w:hint="eastAsia"/>
          <w:lang w:eastAsia="zh-CN"/>
        </w:rPr>
        <w:t>，</w:t>
      </w:r>
      <w:r>
        <w:rPr>
          <w:rFonts w:hint="eastAsia"/>
        </w:rPr>
        <w:t>须从</w:t>
      </w:r>
      <w:r>
        <w:rPr>
          <w:rFonts w:hint="eastAsia"/>
          <w:lang w:eastAsia="zh-CN"/>
        </w:rPr>
        <w:t>供应商</w:t>
      </w:r>
      <w:r>
        <w:rPr>
          <w:rFonts w:hint="eastAsia"/>
        </w:rPr>
        <w:t>本单位账户汇出，不接受其他单位或个人代缴的</w:t>
      </w:r>
      <w:r>
        <w:rPr>
          <w:rFonts w:hint="eastAsia"/>
          <w:lang w:eastAsia="zh-CN"/>
        </w:rPr>
        <w:t>响应担保。</w:t>
      </w:r>
    </w:p>
    <w:p w14:paraId="7445CF3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.3 未按照</w:t>
      </w:r>
      <w:r>
        <w:rPr>
          <w:rFonts w:hint="eastAsia"/>
          <w:lang w:eastAsia="zh-CN"/>
        </w:rPr>
        <w:t>询比</w:t>
      </w:r>
      <w:r>
        <w:rPr>
          <w:rFonts w:hint="eastAsia"/>
        </w:rPr>
        <w:t>文件的规定提交</w:t>
      </w:r>
      <w:r>
        <w:rPr>
          <w:rFonts w:hint="eastAsia"/>
          <w:lang w:eastAsia="zh-CN"/>
        </w:rPr>
        <w:t>响应担保</w:t>
      </w:r>
      <w:r>
        <w:rPr>
          <w:rFonts w:hint="eastAsia"/>
        </w:rPr>
        <w:t>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0936F11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.4</w:t>
      </w:r>
      <w:r>
        <w:rPr>
          <w:rFonts w:hint="eastAsia"/>
          <w:lang w:eastAsia="zh-CN"/>
        </w:rPr>
        <w:t>供应商</w:t>
      </w:r>
      <w:r>
        <w:rPr>
          <w:rFonts w:hint="eastAsia"/>
        </w:rPr>
        <w:t>以现金方式提交的</w:t>
      </w:r>
      <w:r>
        <w:rPr>
          <w:rFonts w:hint="eastAsia"/>
          <w:lang w:eastAsia="zh-CN"/>
        </w:rPr>
        <w:t>响应担保</w:t>
      </w:r>
      <w:r>
        <w:rPr>
          <w:rFonts w:hint="eastAsia"/>
        </w:rPr>
        <w:t>将一律按电汇或转账方式退还至</w:t>
      </w:r>
      <w:r>
        <w:rPr>
          <w:rFonts w:hint="eastAsia"/>
          <w:lang w:eastAsia="zh-CN"/>
        </w:rPr>
        <w:t>供应商</w:t>
      </w:r>
      <w:r>
        <w:rPr>
          <w:rFonts w:hint="eastAsia"/>
        </w:rPr>
        <w:t>单位账户，不退至个人，不退纸币</w:t>
      </w:r>
      <w:r>
        <w:rPr>
          <w:rFonts w:hint="eastAsia"/>
          <w:lang w:eastAsia="zh-CN"/>
        </w:rPr>
        <w:t>。</w:t>
      </w:r>
    </w:p>
    <w:p w14:paraId="155D7C5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.5下列任何情况发生时</w:t>
      </w:r>
      <w:r>
        <w:rPr>
          <w:rFonts w:hint="eastAsia"/>
          <w:lang w:eastAsia="zh-CN"/>
        </w:rPr>
        <w:t>，响应</w:t>
      </w:r>
      <w:r>
        <w:rPr>
          <w:rFonts w:hint="eastAsia"/>
          <w:lang w:val="en-US" w:eastAsia="zh-CN"/>
        </w:rPr>
        <w:t>保证金</w:t>
      </w:r>
      <w:r>
        <w:rPr>
          <w:rFonts w:hint="eastAsia"/>
        </w:rPr>
        <w:t>将不予退还</w:t>
      </w:r>
      <w:r>
        <w:rPr>
          <w:rFonts w:hint="eastAsia"/>
          <w:lang w:eastAsia="zh-CN"/>
        </w:rPr>
        <w:t>：</w:t>
      </w:r>
    </w:p>
    <w:p w14:paraId="554D529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1</w:t>
      </w:r>
      <w:r>
        <w:rPr>
          <w:rFonts w:hint="eastAsia"/>
          <w:lang w:eastAsia="zh-CN"/>
        </w:rPr>
        <w:t>）供应商</w:t>
      </w:r>
      <w:r>
        <w:rPr>
          <w:rFonts w:hint="eastAsia"/>
        </w:rPr>
        <w:t>在</w:t>
      </w:r>
      <w:r>
        <w:rPr>
          <w:rFonts w:hint="eastAsia"/>
          <w:lang w:val="en-US" w:eastAsia="zh-CN"/>
        </w:rPr>
        <w:t>响应</w:t>
      </w:r>
      <w:r>
        <w:rPr>
          <w:rFonts w:hint="eastAsia"/>
        </w:rPr>
        <w:t>有效期内撤销其</w:t>
      </w:r>
      <w:r>
        <w:rPr>
          <w:rFonts w:hint="eastAsia"/>
          <w:lang w:eastAsia="zh-CN"/>
        </w:rPr>
        <w:t>响应；</w:t>
      </w:r>
    </w:p>
    <w:p w14:paraId="6E83422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2</w:t>
      </w:r>
      <w:r>
        <w:rPr>
          <w:rFonts w:hint="eastAsia"/>
          <w:lang w:eastAsia="zh-CN"/>
        </w:rPr>
        <w:t>）成交人</w:t>
      </w:r>
      <w:r>
        <w:rPr>
          <w:rFonts w:hint="eastAsia"/>
        </w:rPr>
        <w:t>未能在规定的时间内签署合同</w:t>
      </w:r>
      <w:r>
        <w:rPr>
          <w:rFonts w:hint="eastAsia"/>
          <w:lang w:eastAsia="zh-CN"/>
        </w:rPr>
        <w:t>；</w:t>
      </w:r>
    </w:p>
    <w:p w14:paraId="55EE87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未能在规定的时间内提供履约担保</w:t>
      </w:r>
      <w:r>
        <w:rPr>
          <w:rFonts w:hint="eastAsia"/>
          <w:lang w:eastAsia="zh-CN"/>
        </w:rPr>
        <w:t>；</w:t>
      </w:r>
    </w:p>
    <w:p w14:paraId="3F53A4D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4</w:t>
      </w:r>
      <w:r>
        <w:rPr>
          <w:rFonts w:hint="eastAsia"/>
          <w:lang w:eastAsia="zh-CN"/>
        </w:rPr>
        <w:t>）供应商</w:t>
      </w:r>
      <w:r>
        <w:rPr>
          <w:rFonts w:hint="eastAsia"/>
        </w:rPr>
        <w:t>在</w:t>
      </w:r>
      <w:r>
        <w:rPr>
          <w:rFonts w:hint="eastAsia"/>
          <w:lang w:eastAsia="zh-CN"/>
        </w:rPr>
        <w:t>响应文件</w:t>
      </w:r>
      <w:r>
        <w:rPr>
          <w:rFonts w:hint="eastAsia"/>
        </w:rPr>
        <w:t>中提供虚假材料或有串标、围标等恶意行为的</w:t>
      </w:r>
      <w:r>
        <w:rPr>
          <w:rFonts w:hint="eastAsia"/>
          <w:lang w:eastAsia="zh-CN"/>
        </w:rPr>
        <w:t>；</w:t>
      </w:r>
    </w:p>
    <w:p w14:paraId="2C41ABB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5</w:t>
      </w:r>
      <w:r>
        <w:rPr>
          <w:rFonts w:hint="eastAsia"/>
          <w:lang w:eastAsia="zh-CN"/>
        </w:rPr>
        <w:t>）</w:t>
      </w:r>
      <w:r>
        <w:rPr>
          <w:rFonts w:hint="eastAsia"/>
        </w:rPr>
        <w:t>法律法规规定的其他不予退还的情形</w:t>
      </w:r>
      <w:r>
        <w:rPr>
          <w:rFonts w:hint="eastAsia"/>
          <w:lang w:eastAsia="zh-CN"/>
        </w:rPr>
        <w:t>。</w:t>
      </w:r>
    </w:p>
    <w:p w14:paraId="087BEADD">
      <w:pPr>
        <w:pStyle w:val="3"/>
        <w:pageBreakBefore w:val="0"/>
        <w:widowControl w:val="0"/>
        <w:kinsoku/>
        <w:wordWrap/>
        <w:overflowPunct/>
        <w:topLinePunct w:val="0"/>
        <w:autoSpaceDE/>
        <w:autoSpaceDN/>
        <w:bidi w:val="0"/>
        <w:adjustRightInd/>
        <w:snapToGrid/>
        <w:spacing w:line="240" w:lineRule="auto"/>
        <w:textAlignment w:val="auto"/>
        <w:rPr>
          <w:rFonts w:hint="eastAsia"/>
        </w:rPr>
      </w:pPr>
      <w:bookmarkStart w:id="95" w:name="_Toc152045555"/>
      <w:bookmarkStart w:id="96" w:name="_Toc296602443"/>
      <w:bookmarkStart w:id="97" w:name="_Toc144974523"/>
      <w:bookmarkStart w:id="98" w:name="_Toc152042331"/>
      <w:bookmarkStart w:id="99" w:name="_Toc246996199"/>
      <w:bookmarkStart w:id="100" w:name="_Toc179632573"/>
      <w:bookmarkStart w:id="101" w:name="_Toc246996942"/>
      <w:bookmarkStart w:id="102" w:name="_Toc247085713"/>
      <w:r>
        <w:rPr>
          <w:rFonts w:hint="eastAsia"/>
          <w:lang w:val="en-US" w:eastAsia="zh-CN"/>
        </w:rPr>
        <w:t>四</w:t>
      </w:r>
      <w:bookmarkEnd w:id="95"/>
      <w:bookmarkEnd w:id="96"/>
      <w:bookmarkEnd w:id="97"/>
      <w:bookmarkEnd w:id="98"/>
      <w:bookmarkEnd w:id="99"/>
      <w:bookmarkEnd w:id="100"/>
      <w:bookmarkEnd w:id="101"/>
      <w:bookmarkEnd w:id="102"/>
      <w:r>
        <w:rPr>
          <w:rFonts w:hint="eastAsia"/>
          <w:lang w:eastAsia="zh-CN"/>
        </w:rPr>
        <w:t>、响应文件</w:t>
      </w:r>
      <w:r>
        <w:rPr>
          <w:rFonts w:hint="eastAsia"/>
        </w:rPr>
        <w:t>的提交</w:t>
      </w:r>
    </w:p>
    <w:p w14:paraId="073A5E15">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03" w:name="_Toc296602444"/>
      <w:bookmarkStart w:id="104" w:name="_Toc179632574"/>
      <w:bookmarkStart w:id="105" w:name="_Toc152045556"/>
      <w:bookmarkStart w:id="106" w:name="_Toc144974524"/>
      <w:bookmarkStart w:id="107" w:name="_Toc246996943"/>
      <w:bookmarkStart w:id="108" w:name="_Toc152042332"/>
      <w:bookmarkStart w:id="109" w:name="_Toc246996200"/>
      <w:bookmarkStart w:id="110" w:name="_Toc247085714"/>
      <w:r>
        <w:rPr>
          <w:rFonts w:hint="eastAsia"/>
          <w:lang w:val="en-US" w:eastAsia="zh-CN"/>
        </w:rPr>
        <w:t>11.</w:t>
      </w:r>
      <w:bookmarkEnd w:id="103"/>
      <w:bookmarkEnd w:id="104"/>
      <w:bookmarkEnd w:id="105"/>
      <w:bookmarkEnd w:id="106"/>
      <w:bookmarkEnd w:id="107"/>
      <w:bookmarkEnd w:id="108"/>
      <w:bookmarkEnd w:id="109"/>
      <w:bookmarkEnd w:id="110"/>
      <w:r>
        <w:rPr>
          <w:rFonts w:hint="eastAsia"/>
          <w:lang w:eastAsia="zh-CN"/>
        </w:rPr>
        <w:t>响应文件</w:t>
      </w:r>
      <w:r>
        <w:rPr>
          <w:rFonts w:hint="eastAsia"/>
        </w:rPr>
        <w:t>的密封和标识</w:t>
      </w:r>
    </w:p>
    <w:p w14:paraId="23F903B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111" w:name="_Toc246996201"/>
      <w:bookmarkStart w:id="112" w:name="_Toc152042333"/>
      <w:bookmarkStart w:id="113" w:name="_Toc179632575"/>
      <w:bookmarkStart w:id="114" w:name="_Toc247085715"/>
      <w:bookmarkStart w:id="115" w:name="_Toc152045557"/>
      <w:bookmarkStart w:id="116" w:name="_Toc144974525"/>
      <w:bookmarkStart w:id="117" w:name="_Toc246996944"/>
      <w:r>
        <w:rPr>
          <w:rFonts w:hint="eastAsia"/>
        </w:rPr>
        <w:t>1</w:t>
      </w:r>
      <w:r>
        <w:rPr>
          <w:rFonts w:hint="eastAsia"/>
          <w:lang w:val="en-US" w:eastAsia="zh-CN"/>
        </w:rPr>
        <w:t>1</w:t>
      </w:r>
      <w:r>
        <w:rPr>
          <w:rFonts w:hint="eastAsia"/>
        </w:rPr>
        <w:t>.1</w:t>
      </w:r>
      <w:r>
        <w:rPr>
          <w:rFonts w:hint="eastAsia"/>
          <w:lang w:eastAsia="zh-CN"/>
        </w:rPr>
        <w:t>响应文件</w:t>
      </w:r>
      <w:r>
        <w:rPr>
          <w:rFonts w:hint="eastAsia"/>
        </w:rPr>
        <w:t>正本和所有的副本须密封装在包装中</w:t>
      </w:r>
      <w:r>
        <w:rPr>
          <w:rFonts w:hint="eastAsia"/>
          <w:lang w:eastAsia="zh-CN"/>
        </w:rPr>
        <w:t>。</w:t>
      </w:r>
      <w:r>
        <w:rPr>
          <w:rFonts w:hint="eastAsia"/>
        </w:rPr>
        <w:t>若项目分包</w:t>
      </w:r>
      <w:r>
        <w:rPr>
          <w:rFonts w:hint="eastAsia"/>
          <w:lang w:eastAsia="zh-CN"/>
        </w:rPr>
        <w:t>，供应商</w:t>
      </w:r>
      <w:r>
        <w:rPr>
          <w:rFonts w:hint="eastAsia"/>
        </w:rPr>
        <w:t>参加多个包号</w:t>
      </w:r>
      <w:r>
        <w:rPr>
          <w:rFonts w:hint="eastAsia"/>
          <w:lang w:eastAsia="zh-CN"/>
        </w:rPr>
        <w:t>响应</w:t>
      </w:r>
      <w:r>
        <w:rPr>
          <w:rFonts w:hint="eastAsia"/>
        </w:rPr>
        <w:t>的</w:t>
      </w:r>
      <w:r>
        <w:rPr>
          <w:rFonts w:hint="eastAsia"/>
          <w:lang w:eastAsia="zh-CN"/>
        </w:rPr>
        <w:t>，响应文件</w:t>
      </w:r>
      <w:r>
        <w:rPr>
          <w:rFonts w:hint="eastAsia"/>
        </w:rPr>
        <w:t>按包号分别密封和标示</w:t>
      </w:r>
      <w:r>
        <w:rPr>
          <w:rFonts w:hint="eastAsia"/>
          <w:lang w:eastAsia="zh-CN"/>
        </w:rPr>
        <w:t>。</w:t>
      </w:r>
    </w:p>
    <w:p w14:paraId="593002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11.2</w:t>
      </w:r>
      <w:r>
        <w:rPr>
          <w:rFonts w:hint="eastAsia"/>
        </w:rPr>
        <w:t>如果包装未按规定标记并密封</w:t>
      </w:r>
      <w:r>
        <w:rPr>
          <w:rFonts w:hint="eastAsia"/>
          <w:lang w:eastAsia="zh-CN"/>
        </w:rPr>
        <w:t>，采购人</w:t>
      </w:r>
      <w:r>
        <w:rPr>
          <w:rFonts w:hint="eastAsia"/>
        </w:rPr>
        <w:t>或</w:t>
      </w:r>
      <w:r>
        <w:rPr>
          <w:rFonts w:hint="eastAsia"/>
          <w:lang w:val="en-US" w:eastAsia="zh-CN"/>
        </w:rPr>
        <w:t>采购平台</w:t>
      </w:r>
      <w:r>
        <w:rPr>
          <w:rFonts w:hint="eastAsia"/>
        </w:rPr>
        <w:t>将不承担错放或</w:t>
      </w:r>
      <w:r>
        <w:rPr>
          <w:rFonts w:hint="eastAsia"/>
          <w:lang w:val="en-US" w:eastAsia="zh-CN"/>
        </w:rPr>
        <w:t>提前启封的责任。</w:t>
      </w:r>
    </w:p>
    <w:bookmarkEnd w:id="111"/>
    <w:bookmarkEnd w:id="112"/>
    <w:bookmarkEnd w:id="113"/>
    <w:bookmarkEnd w:id="114"/>
    <w:bookmarkEnd w:id="115"/>
    <w:bookmarkEnd w:id="116"/>
    <w:bookmarkEnd w:id="117"/>
    <w:p w14:paraId="6A95039E">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12.</w:t>
      </w:r>
      <w:r>
        <w:rPr>
          <w:rFonts w:hint="eastAsia"/>
        </w:rPr>
        <w:t>提交</w:t>
      </w:r>
      <w:r>
        <w:rPr>
          <w:rFonts w:hint="eastAsia"/>
          <w:lang w:eastAsia="zh-CN"/>
        </w:rPr>
        <w:t>响应文件</w:t>
      </w:r>
      <w:r>
        <w:rPr>
          <w:rFonts w:hint="eastAsia"/>
        </w:rPr>
        <w:t>的截止日期</w:t>
      </w:r>
    </w:p>
    <w:p w14:paraId="5AC7FA3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.1</w:t>
      </w:r>
      <w:r>
        <w:rPr>
          <w:rFonts w:hint="eastAsia"/>
          <w:lang w:eastAsia="zh-CN"/>
        </w:rPr>
        <w:t>响应文件</w:t>
      </w:r>
      <w:r>
        <w:rPr>
          <w:rFonts w:hint="eastAsia"/>
        </w:rPr>
        <w:t>应于规定的</w:t>
      </w:r>
      <w:r>
        <w:rPr>
          <w:rFonts w:hint="eastAsia"/>
          <w:lang w:eastAsia="zh-CN"/>
        </w:rPr>
        <w:t>响应</w:t>
      </w:r>
      <w:r>
        <w:rPr>
          <w:rFonts w:hint="eastAsia"/>
          <w:lang w:val="en-US" w:eastAsia="zh-CN"/>
        </w:rPr>
        <w:t>文件递交</w:t>
      </w:r>
      <w:r>
        <w:rPr>
          <w:rFonts w:hint="eastAsia"/>
        </w:rPr>
        <w:t>截止日期之前送达规定的地点</w:t>
      </w:r>
      <w:r>
        <w:rPr>
          <w:rFonts w:hint="eastAsia"/>
          <w:lang w:eastAsia="zh-CN"/>
        </w:rPr>
        <w:t>。</w:t>
      </w:r>
    </w:p>
    <w:p w14:paraId="7B7C18E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.2</w:t>
      </w:r>
      <w:r>
        <w:rPr>
          <w:rFonts w:hint="eastAsia"/>
          <w:lang w:eastAsia="zh-CN"/>
        </w:rPr>
        <w:t>采购人</w:t>
      </w:r>
      <w:r>
        <w:rPr>
          <w:rFonts w:hint="eastAsia"/>
        </w:rPr>
        <w:t>和</w:t>
      </w:r>
      <w:r>
        <w:rPr>
          <w:rFonts w:hint="eastAsia"/>
          <w:lang w:eastAsia="zh-CN"/>
        </w:rPr>
        <w:t>采购平台</w:t>
      </w:r>
      <w:r>
        <w:rPr>
          <w:rFonts w:hint="eastAsia"/>
        </w:rPr>
        <w:t>可以依照法律规定延长</w:t>
      </w:r>
      <w:r>
        <w:rPr>
          <w:rFonts w:hint="eastAsia"/>
          <w:lang w:eastAsia="zh-CN"/>
        </w:rPr>
        <w:t>响应</w:t>
      </w:r>
      <w:r>
        <w:rPr>
          <w:rFonts w:hint="eastAsia"/>
          <w:lang w:val="en-US" w:eastAsia="zh-CN"/>
        </w:rPr>
        <w:t>文件递交</w:t>
      </w:r>
      <w:r>
        <w:rPr>
          <w:rFonts w:hint="eastAsia"/>
        </w:rPr>
        <w:t>截止期</w:t>
      </w:r>
      <w:r>
        <w:rPr>
          <w:rFonts w:hint="eastAsia"/>
          <w:lang w:eastAsia="zh-CN"/>
        </w:rPr>
        <w:t>。</w:t>
      </w:r>
      <w:r>
        <w:rPr>
          <w:rFonts w:hint="eastAsia"/>
        </w:rPr>
        <w:t>在此情况下</w:t>
      </w:r>
      <w:r>
        <w:rPr>
          <w:rFonts w:hint="eastAsia"/>
          <w:lang w:eastAsia="zh-CN"/>
        </w:rPr>
        <w:t>采购平台</w:t>
      </w:r>
      <w:r>
        <w:rPr>
          <w:rFonts w:hint="eastAsia"/>
        </w:rPr>
        <w:t>和</w:t>
      </w:r>
      <w:r>
        <w:rPr>
          <w:rFonts w:hint="eastAsia"/>
          <w:lang w:eastAsia="zh-CN"/>
        </w:rPr>
        <w:t>供应商</w:t>
      </w:r>
      <w:r>
        <w:rPr>
          <w:rFonts w:hint="eastAsia"/>
        </w:rPr>
        <w:t>受</w:t>
      </w:r>
      <w:r>
        <w:rPr>
          <w:rFonts w:hint="eastAsia"/>
          <w:lang w:eastAsia="zh-CN"/>
        </w:rPr>
        <w:t>响应</w:t>
      </w:r>
      <w:r>
        <w:rPr>
          <w:rFonts w:hint="eastAsia"/>
        </w:rPr>
        <w:t>截止期制约的所有权利和义务均应延长至新的截止日期</w:t>
      </w:r>
      <w:r>
        <w:rPr>
          <w:rFonts w:hint="eastAsia"/>
          <w:lang w:eastAsia="zh-CN"/>
        </w:rPr>
        <w:t>。</w:t>
      </w:r>
    </w:p>
    <w:p w14:paraId="6B5AD322">
      <w:pPr>
        <w:pStyle w:val="13"/>
        <w:ind w:firstLine="420" w:firstLineChars="200"/>
        <w:rPr>
          <w:rFonts w:hint="eastAsia"/>
        </w:rPr>
      </w:pPr>
      <w:r>
        <w:rPr>
          <w:rFonts w:hint="eastAsia" w:asciiTheme="minorHAnsi" w:hAnsiTheme="minorHAnsi" w:eastAsiaTheme="minorEastAsia" w:cstheme="minorBidi"/>
          <w:kern w:val="2"/>
          <w:sz w:val="21"/>
          <w:szCs w:val="24"/>
          <w:lang w:val="en-US" w:eastAsia="zh-CN" w:bidi="ar-SA"/>
        </w:rPr>
        <w:t>1</w:t>
      </w:r>
      <w:r>
        <w:rPr>
          <w:rFonts w:hint="eastAsia" w:asciiTheme="minorHAnsi" w:hAnsiTheme="minorHAnsi" w:cstheme="minorBidi"/>
          <w:kern w:val="2"/>
          <w:sz w:val="21"/>
          <w:szCs w:val="24"/>
          <w:lang w:val="en-US" w:eastAsia="zh-CN" w:bidi="ar-SA"/>
        </w:rPr>
        <w:t>2</w:t>
      </w:r>
      <w:r>
        <w:rPr>
          <w:rFonts w:hint="eastAsia" w:asciiTheme="minorHAnsi" w:hAnsiTheme="minorHAnsi" w:eastAsiaTheme="minorEastAsia" w:cstheme="minorBidi"/>
          <w:kern w:val="2"/>
          <w:sz w:val="21"/>
          <w:szCs w:val="24"/>
          <w:lang w:val="en-US" w:eastAsia="zh-CN" w:bidi="ar-SA"/>
        </w:rPr>
        <w:t>.3</w:t>
      </w:r>
      <w:r>
        <w:rPr>
          <w:rFonts w:hint="eastAsia" w:asciiTheme="minorHAnsi" w:hAnsiTheme="minorHAnsi" w:cstheme="minorBidi"/>
          <w:kern w:val="2"/>
          <w:sz w:val="21"/>
          <w:szCs w:val="24"/>
          <w:lang w:val="en-US" w:eastAsia="zh-CN" w:bidi="ar-SA"/>
        </w:rPr>
        <w:t>采购人</w:t>
      </w:r>
      <w:r>
        <w:rPr>
          <w:rFonts w:hint="eastAsia" w:asciiTheme="minorHAnsi" w:hAnsiTheme="minorHAnsi" w:eastAsiaTheme="minorEastAsia" w:cstheme="minorBidi"/>
          <w:kern w:val="2"/>
          <w:sz w:val="21"/>
          <w:szCs w:val="24"/>
          <w:lang w:val="en-US" w:eastAsia="zh-CN" w:bidi="ar-SA"/>
        </w:rPr>
        <w:t>和</w:t>
      </w:r>
      <w:r>
        <w:rPr>
          <w:rFonts w:hint="eastAsia" w:asciiTheme="minorHAnsi" w:hAnsiTheme="minorHAnsi" w:cstheme="minorBidi"/>
          <w:kern w:val="2"/>
          <w:sz w:val="21"/>
          <w:szCs w:val="24"/>
          <w:lang w:val="en-US" w:eastAsia="zh-CN" w:bidi="ar-SA"/>
        </w:rPr>
        <w:t>采购平台</w:t>
      </w:r>
      <w:r>
        <w:rPr>
          <w:rFonts w:hint="eastAsia" w:asciiTheme="minorHAnsi" w:hAnsiTheme="minorHAnsi" w:eastAsiaTheme="minorEastAsia" w:cstheme="minorBidi"/>
          <w:kern w:val="2"/>
          <w:sz w:val="21"/>
          <w:szCs w:val="24"/>
          <w:lang w:val="en-US" w:eastAsia="zh-CN" w:bidi="ar-SA"/>
        </w:rPr>
        <w:t>将拒绝并退回在响应文件递交截止期后收到的任何</w:t>
      </w:r>
      <w:r>
        <w:rPr>
          <w:rFonts w:hint="eastAsia" w:asciiTheme="minorHAnsi" w:hAnsiTheme="minorHAnsi" w:cstheme="minorBidi"/>
          <w:kern w:val="2"/>
          <w:sz w:val="21"/>
          <w:szCs w:val="24"/>
          <w:lang w:val="en-US" w:eastAsia="zh-CN" w:bidi="ar-SA"/>
        </w:rPr>
        <w:t>响应文件。</w:t>
      </w:r>
    </w:p>
    <w:p w14:paraId="54F713E5">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18" w:name="_Toc144974526"/>
      <w:bookmarkStart w:id="119" w:name="_Toc246996202"/>
      <w:bookmarkStart w:id="120" w:name="_Toc152045558"/>
      <w:bookmarkStart w:id="121" w:name="_Toc179632576"/>
      <w:bookmarkStart w:id="122" w:name="_Toc246996945"/>
      <w:bookmarkStart w:id="123" w:name="_Toc152042334"/>
      <w:bookmarkStart w:id="124" w:name="_Toc296602446"/>
      <w:bookmarkStart w:id="125" w:name="_Toc247085716"/>
      <w:r>
        <w:rPr>
          <w:rFonts w:hint="eastAsia"/>
          <w:lang w:val="en-US" w:eastAsia="zh-CN"/>
        </w:rPr>
        <w:t>13.</w:t>
      </w:r>
      <w:r>
        <w:rPr>
          <w:rFonts w:hint="eastAsia"/>
          <w:lang w:eastAsia="zh-CN"/>
        </w:rPr>
        <w:t>响应文件</w:t>
      </w:r>
      <w:r>
        <w:rPr>
          <w:rFonts w:hint="eastAsia"/>
        </w:rPr>
        <w:t>的修改与撤回</w:t>
      </w:r>
      <w:bookmarkEnd w:id="118"/>
      <w:bookmarkEnd w:id="119"/>
      <w:bookmarkEnd w:id="120"/>
      <w:bookmarkEnd w:id="121"/>
      <w:bookmarkEnd w:id="122"/>
      <w:bookmarkEnd w:id="123"/>
      <w:bookmarkEnd w:id="124"/>
      <w:bookmarkEnd w:id="125"/>
    </w:p>
    <w:p w14:paraId="060142B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.1</w:t>
      </w:r>
      <w:r>
        <w:rPr>
          <w:rFonts w:hint="eastAsia"/>
          <w:lang w:eastAsia="zh-CN"/>
        </w:rPr>
        <w:t>供应商</w:t>
      </w:r>
      <w:r>
        <w:rPr>
          <w:rFonts w:hint="eastAsia"/>
        </w:rPr>
        <w:t>在提交</w:t>
      </w:r>
      <w:r>
        <w:rPr>
          <w:rFonts w:hint="eastAsia"/>
          <w:lang w:eastAsia="zh-CN"/>
        </w:rPr>
        <w:t>响应文件</w:t>
      </w:r>
      <w:r>
        <w:rPr>
          <w:rFonts w:hint="eastAsia"/>
        </w:rPr>
        <w:t>后</w:t>
      </w:r>
      <w:r>
        <w:rPr>
          <w:rFonts w:hint="eastAsia"/>
          <w:lang w:eastAsia="zh-CN"/>
        </w:rPr>
        <w:t>，</w:t>
      </w:r>
      <w:r>
        <w:rPr>
          <w:rFonts w:hint="eastAsia"/>
        </w:rPr>
        <w:t>可以修改或撤回其</w:t>
      </w:r>
      <w:r>
        <w:rPr>
          <w:rFonts w:hint="eastAsia"/>
          <w:lang w:eastAsia="zh-CN"/>
        </w:rPr>
        <w:t>响应</w:t>
      </w:r>
      <w:r>
        <w:rPr>
          <w:rFonts w:hint="eastAsia"/>
          <w:lang w:val="en-US" w:eastAsia="zh-CN"/>
        </w:rPr>
        <w:t>文件</w:t>
      </w:r>
      <w:r>
        <w:rPr>
          <w:rFonts w:hint="eastAsia"/>
          <w:lang w:eastAsia="zh-CN"/>
        </w:rPr>
        <w:t>，</w:t>
      </w:r>
      <w:r>
        <w:rPr>
          <w:rFonts w:hint="eastAsia"/>
        </w:rPr>
        <w:t>但这种修改和撤回，必须在规定的</w:t>
      </w:r>
      <w:r>
        <w:rPr>
          <w:rFonts w:hint="eastAsia"/>
          <w:lang w:eastAsia="zh-CN"/>
        </w:rPr>
        <w:t>响应</w:t>
      </w:r>
      <w:r>
        <w:rPr>
          <w:rFonts w:hint="eastAsia"/>
          <w:lang w:val="en-US" w:eastAsia="zh-CN"/>
        </w:rPr>
        <w:t>文件递交</w:t>
      </w:r>
      <w:r>
        <w:rPr>
          <w:rFonts w:hint="eastAsia"/>
        </w:rPr>
        <w:t>截止时间前</w:t>
      </w:r>
      <w:r>
        <w:rPr>
          <w:rFonts w:hint="eastAsia"/>
          <w:lang w:eastAsia="zh-CN"/>
        </w:rPr>
        <w:t>，</w:t>
      </w:r>
      <w:r>
        <w:rPr>
          <w:rFonts w:hint="eastAsia"/>
        </w:rPr>
        <w:t>并以书面形式通知</w:t>
      </w:r>
      <w:r>
        <w:rPr>
          <w:rFonts w:hint="eastAsia"/>
          <w:lang w:val="en-US" w:eastAsia="zh-CN"/>
        </w:rPr>
        <w:t>采购平台</w:t>
      </w:r>
      <w:r>
        <w:rPr>
          <w:rFonts w:hint="eastAsia"/>
          <w:lang w:eastAsia="zh-CN"/>
        </w:rPr>
        <w:t>。</w:t>
      </w:r>
      <w:r>
        <w:rPr>
          <w:rFonts w:hint="eastAsia"/>
        </w:rPr>
        <w:t>在</w:t>
      </w:r>
      <w:r>
        <w:rPr>
          <w:rFonts w:hint="eastAsia"/>
          <w:lang w:eastAsia="zh-CN"/>
        </w:rPr>
        <w:t>响应</w:t>
      </w:r>
      <w:r>
        <w:rPr>
          <w:rFonts w:hint="eastAsia"/>
          <w:lang w:val="en-US" w:eastAsia="zh-CN"/>
        </w:rPr>
        <w:t>文件递交</w:t>
      </w:r>
      <w:r>
        <w:rPr>
          <w:rFonts w:hint="eastAsia"/>
        </w:rPr>
        <w:t>截止时间后</w:t>
      </w:r>
      <w:r>
        <w:rPr>
          <w:rFonts w:hint="eastAsia"/>
          <w:lang w:eastAsia="zh-CN"/>
        </w:rPr>
        <w:t>，供应商</w:t>
      </w:r>
      <w:r>
        <w:rPr>
          <w:rFonts w:hint="eastAsia"/>
        </w:rPr>
        <w:t>不得再要求修改或撤销其</w:t>
      </w:r>
      <w:r>
        <w:rPr>
          <w:rFonts w:hint="eastAsia"/>
          <w:lang w:eastAsia="zh-CN"/>
        </w:rPr>
        <w:t>响应文件。</w:t>
      </w:r>
    </w:p>
    <w:p w14:paraId="3A343843">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w:t>
      </w:r>
      <w:r>
        <w:rPr>
          <w:rFonts w:hint="eastAsia"/>
          <w:lang w:val="en-US" w:eastAsia="zh-CN"/>
        </w:rPr>
        <w:t>2</w:t>
      </w:r>
      <w:r>
        <w:rPr>
          <w:rFonts w:hint="eastAsia"/>
        </w:rPr>
        <w:t>从</w:t>
      </w:r>
      <w:r>
        <w:rPr>
          <w:rFonts w:hint="eastAsia"/>
          <w:lang w:eastAsia="zh-CN"/>
        </w:rPr>
        <w:t>响应</w:t>
      </w:r>
      <w:r>
        <w:rPr>
          <w:rFonts w:hint="eastAsia"/>
          <w:lang w:val="en-US" w:eastAsia="zh-CN"/>
        </w:rPr>
        <w:t>文件递交</w:t>
      </w:r>
      <w:r>
        <w:rPr>
          <w:rFonts w:hint="eastAsia"/>
        </w:rPr>
        <w:t>截止期至</w:t>
      </w:r>
      <w:r>
        <w:rPr>
          <w:rFonts w:hint="eastAsia"/>
          <w:lang w:eastAsia="zh-CN"/>
        </w:rPr>
        <w:t>响应文件</w:t>
      </w:r>
      <w:r>
        <w:rPr>
          <w:rFonts w:hint="eastAsia"/>
        </w:rPr>
        <w:t>有效期结束为止</w:t>
      </w:r>
      <w:r>
        <w:rPr>
          <w:rFonts w:hint="eastAsia"/>
          <w:lang w:eastAsia="zh-CN"/>
        </w:rPr>
        <w:t>，供应商</w:t>
      </w:r>
      <w:r>
        <w:rPr>
          <w:rFonts w:hint="eastAsia"/>
        </w:rPr>
        <w:t>不得撤销其</w:t>
      </w:r>
      <w:r>
        <w:rPr>
          <w:rFonts w:hint="eastAsia"/>
          <w:lang w:eastAsia="zh-CN"/>
        </w:rPr>
        <w:t>响应</w:t>
      </w:r>
      <w:r>
        <w:rPr>
          <w:rFonts w:hint="eastAsia"/>
          <w:lang w:val="en-US" w:eastAsia="zh-CN"/>
        </w:rPr>
        <w:t>文件</w:t>
      </w:r>
      <w:r>
        <w:rPr>
          <w:rFonts w:hint="eastAsia"/>
        </w:rPr>
        <w:t>，否则将不予退还其</w:t>
      </w:r>
      <w:r>
        <w:rPr>
          <w:rFonts w:hint="eastAsia"/>
          <w:lang w:eastAsia="zh-CN"/>
        </w:rPr>
        <w:t>响应担保。</w:t>
      </w:r>
    </w:p>
    <w:p w14:paraId="28E5DE5C">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bookmarkStart w:id="126" w:name="_Toc152042335"/>
      <w:bookmarkStart w:id="127" w:name="_Toc247085717"/>
      <w:bookmarkStart w:id="128" w:name="_Toc144974527"/>
      <w:bookmarkStart w:id="129" w:name="_Toc179632577"/>
      <w:bookmarkStart w:id="130" w:name="_Toc296602447"/>
      <w:bookmarkStart w:id="131" w:name="_Toc246996203"/>
      <w:bookmarkStart w:id="132" w:name="_Toc246996946"/>
      <w:bookmarkStart w:id="133" w:name="_Toc152045559"/>
      <w:r>
        <w:rPr>
          <w:rFonts w:hint="eastAsia"/>
          <w:lang w:val="en-US" w:eastAsia="zh-CN"/>
        </w:rPr>
        <w:t>五</w:t>
      </w:r>
      <w:r>
        <w:rPr>
          <w:rFonts w:hint="eastAsia"/>
          <w:lang w:eastAsia="zh-CN"/>
        </w:rPr>
        <w:t>、</w:t>
      </w:r>
      <w:bookmarkEnd w:id="126"/>
      <w:bookmarkEnd w:id="127"/>
      <w:bookmarkEnd w:id="128"/>
      <w:bookmarkEnd w:id="129"/>
      <w:bookmarkEnd w:id="130"/>
      <w:bookmarkEnd w:id="131"/>
      <w:bookmarkEnd w:id="132"/>
      <w:bookmarkEnd w:id="133"/>
      <w:r>
        <w:rPr>
          <w:rFonts w:hint="eastAsia"/>
          <w:lang w:eastAsia="zh-CN"/>
        </w:rPr>
        <w:t>开启</w:t>
      </w:r>
    </w:p>
    <w:p w14:paraId="1B8FBC78">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34" w:name="_Toc179632578"/>
      <w:bookmarkStart w:id="135" w:name="_Toc246996204"/>
      <w:bookmarkStart w:id="136" w:name="_Toc246996947"/>
      <w:bookmarkStart w:id="137" w:name="_Toc296602448"/>
      <w:bookmarkStart w:id="138" w:name="_Toc144974528"/>
      <w:bookmarkStart w:id="139" w:name="_Toc247085718"/>
      <w:bookmarkStart w:id="140" w:name="_Toc152042336"/>
      <w:bookmarkStart w:id="141" w:name="_Toc152045560"/>
      <w:r>
        <w:rPr>
          <w:rFonts w:hint="eastAsia"/>
          <w:lang w:val="en-US" w:eastAsia="zh-CN"/>
        </w:rPr>
        <w:t>14.</w:t>
      </w:r>
      <w:r>
        <w:rPr>
          <w:rFonts w:hint="eastAsia"/>
          <w:lang w:eastAsia="zh-CN"/>
        </w:rPr>
        <w:t>开启（</w:t>
      </w:r>
      <w:r>
        <w:rPr>
          <w:rFonts w:hint="eastAsia"/>
          <w:lang w:val="en-US" w:eastAsia="zh-CN"/>
        </w:rPr>
        <w:t>或开启响应文件）</w:t>
      </w:r>
      <w:r>
        <w:rPr>
          <w:rFonts w:hint="eastAsia"/>
        </w:rPr>
        <w:t>时间和地点</w:t>
      </w:r>
      <w:bookmarkEnd w:id="134"/>
      <w:bookmarkEnd w:id="135"/>
      <w:bookmarkEnd w:id="136"/>
      <w:bookmarkEnd w:id="137"/>
      <w:bookmarkEnd w:id="138"/>
      <w:bookmarkEnd w:id="139"/>
      <w:bookmarkEnd w:id="140"/>
      <w:bookmarkEnd w:id="141"/>
    </w:p>
    <w:p w14:paraId="4F0457E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.1</w:t>
      </w:r>
      <w:r>
        <w:rPr>
          <w:rFonts w:hint="eastAsia"/>
          <w:lang w:eastAsia="zh-CN"/>
        </w:rPr>
        <w:t>采购平台</w:t>
      </w:r>
      <w:r>
        <w:rPr>
          <w:rFonts w:hint="eastAsia"/>
        </w:rPr>
        <w:t>在</w:t>
      </w:r>
      <w:r>
        <w:rPr>
          <w:rFonts w:hint="eastAsia"/>
          <w:lang w:eastAsia="zh-CN"/>
        </w:rPr>
        <w:t>供应商</w:t>
      </w:r>
      <w:r>
        <w:rPr>
          <w:rFonts w:hint="eastAsia"/>
        </w:rPr>
        <w:t>须知前附表规定的时间和地点公开</w:t>
      </w:r>
      <w:r>
        <w:rPr>
          <w:rFonts w:hint="eastAsia"/>
          <w:lang w:eastAsia="zh-CN"/>
        </w:rPr>
        <w:t>开启。</w:t>
      </w:r>
      <w:r>
        <w:rPr>
          <w:rFonts w:hint="eastAsia"/>
        </w:rPr>
        <w:t>出席</w:t>
      </w:r>
      <w:r>
        <w:rPr>
          <w:rFonts w:hint="eastAsia"/>
          <w:lang w:eastAsia="zh-CN"/>
        </w:rPr>
        <w:t>开启</w:t>
      </w:r>
      <w:r>
        <w:rPr>
          <w:rFonts w:hint="eastAsia"/>
        </w:rPr>
        <w:t>仪式的</w:t>
      </w:r>
      <w:r>
        <w:rPr>
          <w:rFonts w:hint="eastAsia"/>
          <w:lang w:eastAsia="zh-CN"/>
        </w:rPr>
        <w:t>供应商</w:t>
      </w:r>
      <w:r>
        <w:rPr>
          <w:rFonts w:hint="eastAsia"/>
        </w:rPr>
        <w:t>的授权代表携带身份证明</w:t>
      </w:r>
      <w:r>
        <w:rPr>
          <w:rFonts w:hint="eastAsia"/>
          <w:lang w:eastAsia="zh-CN"/>
        </w:rPr>
        <w:t>，</w:t>
      </w:r>
      <w:r>
        <w:rPr>
          <w:rFonts w:hint="eastAsia"/>
        </w:rPr>
        <w:t>签名报到以证明其出席</w:t>
      </w:r>
      <w:r>
        <w:rPr>
          <w:rFonts w:hint="eastAsia"/>
          <w:lang w:eastAsia="zh-CN"/>
        </w:rPr>
        <w:t>。</w:t>
      </w:r>
      <w:r>
        <w:rPr>
          <w:rFonts w:hint="eastAsia"/>
        </w:rPr>
        <w:t>在评审结束前，未得到</w:t>
      </w:r>
      <w:r>
        <w:rPr>
          <w:rFonts w:hint="eastAsia"/>
          <w:lang w:eastAsia="zh-CN"/>
        </w:rPr>
        <w:t>采购人</w:t>
      </w:r>
      <w:r>
        <w:rPr>
          <w:rFonts w:hint="eastAsia"/>
        </w:rPr>
        <w:t>或</w:t>
      </w:r>
      <w:r>
        <w:rPr>
          <w:rFonts w:hint="eastAsia"/>
          <w:lang w:eastAsia="zh-CN"/>
        </w:rPr>
        <w:t>采购平台</w:t>
      </w:r>
      <w:r>
        <w:rPr>
          <w:rFonts w:hint="eastAsia"/>
        </w:rPr>
        <w:t>的允许</w:t>
      </w:r>
      <w:r>
        <w:rPr>
          <w:rFonts w:hint="eastAsia"/>
          <w:lang w:eastAsia="zh-CN"/>
        </w:rPr>
        <w:t>，供应商</w:t>
      </w:r>
      <w:r>
        <w:rPr>
          <w:rFonts w:hint="eastAsia"/>
        </w:rPr>
        <w:t>授权代表</w:t>
      </w:r>
      <w:r>
        <w:rPr>
          <w:rFonts w:hint="eastAsia"/>
          <w:lang w:val="en-US" w:eastAsia="zh-CN"/>
        </w:rPr>
        <w:t>原则上</w:t>
      </w:r>
      <w:r>
        <w:rPr>
          <w:rFonts w:hint="eastAsia"/>
        </w:rPr>
        <w:t>不得离开</w:t>
      </w:r>
      <w:r>
        <w:rPr>
          <w:rFonts w:hint="eastAsia"/>
          <w:lang w:eastAsia="zh-CN"/>
        </w:rPr>
        <w:t>开启</w:t>
      </w:r>
      <w:r>
        <w:rPr>
          <w:rFonts w:hint="eastAsia"/>
        </w:rPr>
        <w:t>现场</w:t>
      </w:r>
      <w:r>
        <w:rPr>
          <w:rFonts w:hint="eastAsia"/>
          <w:lang w:eastAsia="zh-CN"/>
        </w:rPr>
        <w:t>。</w:t>
      </w:r>
    </w:p>
    <w:p w14:paraId="15D2CC2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.2在</w:t>
      </w:r>
      <w:r>
        <w:rPr>
          <w:rFonts w:hint="eastAsia"/>
          <w:lang w:eastAsia="zh-CN"/>
        </w:rPr>
        <w:t>开启</w:t>
      </w:r>
      <w:r>
        <w:rPr>
          <w:rFonts w:hint="eastAsia"/>
        </w:rPr>
        <w:t>时</w:t>
      </w:r>
      <w:r>
        <w:rPr>
          <w:rFonts w:hint="eastAsia"/>
          <w:lang w:eastAsia="zh-CN"/>
        </w:rPr>
        <w:t>，采购平台</w:t>
      </w:r>
      <w:r>
        <w:rPr>
          <w:rFonts w:hint="eastAsia"/>
        </w:rPr>
        <w:t>宣读</w:t>
      </w:r>
      <w:r>
        <w:rPr>
          <w:rFonts w:hint="eastAsia"/>
          <w:lang w:eastAsia="zh-CN"/>
        </w:rPr>
        <w:t>供应商</w:t>
      </w:r>
      <w:r>
        <w:rPr>
          <w:rFonts w:hint="eastAsia"/>
        </w:rPr>
        <w:t>名称、</w:t>
      </w:r>
      <w:r>
        <w:rPr>
          <w:rFonts w:hint="eastAsia"/>
          <w:lang w:eastAsia="zh-CN"/>
        </w:rPr>
        <w:t>响应</w:t>
      </w:r>
      <w:r>
        <w:rPr>
          <w:rFonts w:hint="eastAsia"/>
        </w:rPr>
        <w:t>价格</w:t>
      </w:r>
      <w:r>
        <w:rPr>
          <w:rFonts w:hint="eastAsia"/>
          <w:lang w:eastAsia="zh-CN"/>
        </w:rPr>
        <w:t>，</w:t>
      </w:r>
      <w:r>
        <w:rPr>
          <w:rFonts w:hint="eastAsia"/>
        </w:rPr>
        <w:t>以及</w:t>
      </w:r>
      <w:r>
        <w:rPr>
          <w:rFonts w:hint="eastAsia"/>
          <w:lang w:eastAsia="zh-CN"/>
        </w:rPr>
        <w:t>采购平台</w:t>
      </w:r>
      <w:r>
        <w:rPr>
          <w:rFonts w:hint="eastAsia"/>
        </w:rPr>
        <w:t>认为合适的其他内容</w:t>
      </w:r>
      <w:r>
        <w:rPr>
          <w:rFonts w:hint="eastAsia"/>
          <w:lang w:eastAsia="zh-CN"/>
        </w:rPr>
        <w:t>。开启</w:t>
      </w:r>
      <w:r>
        <w:rPr>
          <w:rFonts w:hint="eastAsia"/>
        </w:rPr>
        <w:t>结束后</w:t>
      </w:r>
      <w:r>
        <w:rPr>
          <w:rFonts w:hint="eastAsia"/>
          <w:lang w:eastAsia="zh-CN"/>
        </w:rPr>
        <w:t>，</w:t>
      </w:r>
      <w:r>
        <w:rPr>
          <w:rFonts w:hint="eastAsia"/>
        </w:rPr>
        <w:t>所有被开封唱标的</w:t>
      </w:r>
      <w:r>
        <w:rPr>
          <w:rFonts w:hint="eastAsia"/>
          <w:lang w:eastAsia="zh-CN"/>
        </w:rPr>
        <w:t>响应文件，</w:t>
      </w:r>
      <w:r>
        <w:rPr>
          <w:rFonts w:hint="eastAsia"/>
        </w:rPr>
        <w:t>均提交</w:t>
      </w:r>
      <w:r>
        <w:rPr>
          <w:rFonts w:hint="eastAsia"/>
          <w:lang w:eastAsia="zh-CN"/>
        </w:rPr>
        <w:t>评审委员会</w:t>
      </w:r>
      <w:r>
        <w:rPr>
          <w:rFonts w:hint="eastAsia"/>
        </w:rPr>
        <w:t>评审</w:t>
      </w:r>
      <w:r>
        <w:rPr>
          <w:rFonts w:hint="eastAsia"/>
          <w:lang w:eastAsia="zh-CN"/>
        </w:rPr>
        <w:t>。</w:t>
      </w:r>
    </w:p>
    <w:p w14:paraId="34DDC8D9">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42" w:name="_Toc296602449"/>
      <w:bookmarkStart w:id="143" w:name="_Toc144974529"/>
      <w:bookmarkStart w:id="144" w:name="_Toc246996948"/>
      <w:bookmarkStart w:id="145" w:name="_Toc246996205"/>
      <w:bookmarkStart w:id="146" w:name="_Toc179632579"/>
      <w:bookmarkStart w:id="147" w:name="_Toc152045561"/>
      <w:bookmarkStart w:id="148" w:name="_Toc152042337"/>
      <w:bookmarkStart w:id="149" w:name="_Toc247085719"/>
      <w:r>
        <w:rPr>
          <w:rFonts w:hint="eastAsia"/>
          <w:lang w:val="en-US" w:eastAsia="zh-CN"/>
        </w:rPr>
        <w:t>15.</w:t>
      </w:r>
      <w:r>
        <w:rPr>
          <w:rFonts w:hint="eastAsia"/>
          <w:lang w:eastAsia="zh-CN"/>
        </w:rPr>
        <w:t>开启</w:t>
      </w:r>
      <w:r>
        <w:rPr>
          <w:rFonts w:hint="eastAsia"/>
        </w:rPr>
        <w:t>程序</w:t>
      </w:r>
      <w:bookmarkEnd w:id="142"/>
      <w:bookmarkEnd w:id="143"/>
      <w:bookmarkEnd w:id="144"/>
      <w:bookmarkEnd w:id="145"/>
      <w:bookmarkEnd w:id="146"/>
      <w:bookmarkEnd w:id="147"/>
      <w:bookmarkEnd w:id="148"/>
      <w:bookmarkEnd w:id="149"/>
    </w:p>
    <w:p w14:paraId="252FC1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15.1评审由依照有关规定组建的评审委员会负责。评审委员会将按照询比文件确定的方法进行评审。在详细评审之前，评审委员会将判定每个响应文件是否完整以及是否实质性响应了询比文件的要求。</w:t>
      </w:r>
    </w:p>
    <w:p w14:paraId="1F9B238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.2</w:t>
      </w:r>
      <w:r>
        <w:rPr>
          <w:rFonts w:hint="eastAsia"/>
          <w:lang w:val="en-US" w:eastAsia="zh-CN"/>
        </w:rPr>
        <w:t>评审委员会</w:t>
      </w:r>
      <w:r>
        <w:rPr>
          <w:rFonts w:hint="default" w:eastAsiaTheme="minorEastAsia"/>
          <w:lang w:val="en-US" w:eastAsia="zh-CN"/>
        </w:rPr>
        <w:t>成员有下列情形之一的，应当回避</w:t>
      </w:r>
      <w:r>
        <w:rPr>
          <w:rFonts w:hint="eastAsia"/>
          <w:lang w:val="en-US" w:eastAsia="zh-CN"/>
        </w:rPr>
        <w:t>：</w:t>
      </w:r>
    </w:p>
    <w:p w14:paraId="38D3225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1</w:t>
      </w:r>
      <w:r>
        <w:rPr>
          <w:rFonts w:hint="eastAsia"/>
          <w:lang w:val="en-US" w:eastAsia="zh-CN"/>
        </w:rPr>
        <w:t>）供应商</w:t>
      </w:r>
      <w:r>
        <w:rPr>
          <w:rFonts w:hint="default" w:eastAsiaTheme="minorEastAsia"/>
          <w:lang w:val="en-US" w:eastAsia="zh-CN"/>
        </w:rPr>
        <w:t>或</w:t>
      </w:r>
      <w:r>
        <w:rPr>
          <w:rFonts w:hint="eastAsia"/>
          <w:lang w:val="en-US" w:eastAsia="zh-CN"/>
        </w:rPr>
        <w:t>供应商</w:t>
      </w:r>
      <w:r>
        <w:rPr>
          <w:rFonts w:hint="default" w:eastAsiaTheme="minorEastAsia"/>
          <w:lang w:val="en-US" w:eastAsia="zh-CN"/>
        </w:rPr>
        <w:t>主要负责人的近亲属</w:t>
      </w:r>
      <w:r>
        <w:rPr>
          <w:rFonts w:hint="eastAsia"/>
          <w:lang w:val="en-US" w:eastAsia="zh-CN"/>
        </w:rPr>
        <w:t>；</w:t>
      </w:r>
    </w:p>
    <w:p w14:paraId="1B63B02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2</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有经济利益关系</w:t>
      </w:r>
      <w:r>
        <w:rPr>
          <w:rFonts w:hint="eastAsia"/>
          <w:lang w:val="en-US" w:eastAsia="zh-CN"/>
        </w:rPr>
        <w:t>，</w:t>
      </w:r>
      <w:r>
        <w:rPr>
          <w:rFonts w:hint="default" w:eastAsiaTheme="minorEastAsia"/>
          <w:lang w:val="en-US" w:eastAsia="zh-CN"/>
        </w:rPr>
        <w:t>可能影响对</w:t>
      </w:r>
      <w:r>
        <w:rPr>
          <w:rFonts w:hint="eastAsia"/>
          <w:lang w:val="en-US" w:eastAsia="zh-CN"/>
        </w:rPr>
        <w:t>响应</w:t>
      </w:r>
      <w:r>
        <w:rPr>
          <w:rFonts w:hint="default" w:eastAsiaTheme="minorEastAsia"/>
          <w:lang w:val="en-US" w:eastAsia="zh-CN"/>
        </w:rPr>
        <w:t>公正评审的</w:t>
      </w:r>
      <w:r>
        <w:rPr>
          <w:rFonts w:hint="eastAsia"/>
          <w:lang w:val="en-US" w:eastAsia="zh-CN"/>
        </w:rPr>
        <w:t>；</w:t>
      </w:r>
    </w:p>
    <w:p w14:paraId="659A449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3</w:t>
      </w:r>
      <w:r>
        <w:rPr>
          <w:rFonts w:hint="eastAsia"/>
          <w:lang w:val="en-US" w:eastAsia="zh-CN"/>
        </w:rPr>
        <w:t>）</w:t>
      </w:r>
      <w:r>
        <w:rPr>
          <w:rFonts w:hint="default" w:eastAsiaTheme="minorEastAsia"/>
          <w:lang w:val="en-US" w:eastAsia="zh-CN"/>
        </w:rPr>
        <w:t>曾因在</w:t>
      </w:r>
      <w:r>
        <w:rPr>
          <w:rFonts w:hint="eastAsia"/>
          <w:lang w:val="en-US" w:eastAsia="zh-CN"/>
        </w:rPr>
        <w:t>询比</w:t>
      </w:r>
      <w:r>
        <w:rPr>
          <w:rFonts w:hint="default" w:eastAsiaTheme="minorEastAsia"/>
          <w:lang w:val="en-US" w:eastAsia="zh-CN"/>
        </w:rPr>
        <w:t>、</w:t>
      </w:r>
      <w:r>
        <w:rPr>
          <w:rFonts w:hint="eastAsia"/>
          <w:lang w:val="en-US" w:eastAsia="zh-CN"/>
        </w:rPr>
        <w:t>评审</w:t>
      </w:r>
      <w:r>
        <w:rPr>
          <w:rFonts w:hint="default" w:eastAsiaTheme="minorEastAsia"/>
          <w:lang w:val="en-US" w:eastAsia="zh-CN"/>
        </w:rPr>
        <w:t>以及其他与</w:t>
      </w:r>
      <w:r>
        <w:rPr>
          <w:rFonts w:hint="eastAsia"/>
          <w:lang w:val="en-US" w:eastAsia="zh-CN"/>
        </w:rPr>
        <w:t>招标响应</w:t>
      </w:r>
      <w:r>
        <w:rPr>
          <w:rFonts w:hint="default" w:eastAsiaTheme="minorEastAsia"/>
          <w:lang w:val="en-US" w:eastAsia="zh-CN"/>
        </w:rPr>
        <w:t>有关活动中从事违法行为而受过</w:t>
      </w:r>
      <w:r>
        <w:rPr>
          <w:rFonts w:hint="eastAsia"/>
          <w:lang w:val="en-US" w:eastAsia="zh-CN"/>
        </w:rPr>
        <w:t>行政</w:t>
      </w:r>
      <w:r>
        <w:rPr>
          <w:rFonts w:hint="default" w:eastAsiaTheme="minorEastAsia"/>
          <w:lang w:val="en-US" w:eastAsia="zh-CN"/>
        </w:rPr>
        <w:t>处罚或刑事处罚的</w:t>
      </w:r>
      <w:r>
        <w:rPr>
          <w:rFonts w:hint="eastAsia"/>
          <w:lang w:val="en-US" w:eastAsia="zh-CN"/>
        </w:rPr>
        <w:t>；</w:t>
      </w:r>
    </w:p>
    <w:p w14:paraId="091F078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4</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有其他利害关系</w:t>
      </w:r>
      <w:r>
        <w:rPr>
          <w:rFonts w:hint="eastAsia"/>
          <w:lang w:val="en-US" w:eastAsia="zh-CN"/>
        </w:rPr>
        <w:t>。</w:t>
      </w:r>
    </w:p>
    <w:p w14:paraId="7A908A6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.3</w:t>
      </w:r>
      <w:r>
        <w:rPr>
          <w:rFonts w:hint="eastAsia"/>
          <w:lang w:val="en-US" w:eastAsia="zh-CN"/>
        </w:rPr>
        <w:t>评审</w:t>
      </w:r>
      <w:r>
        <w:rPr>
          <w:rFonts w:hint="default" w:eastAsiaTheme="minorEastAsia"/>
          <w:lang w:val="en-US" w:eastAsia="zh-CN"/>
        </w:rPr>
        <w:t>过程中</w:t>
      </w:r>
      <w:r>
        <w:rPr>
          <w:rFonts w:hint="eastAsia"/>
          <w:lang w:val="en-US" w:eastAsia="zh-CN"/>
        </w:rPr>
        <w:t>，评审委员会</w:t>
      </w:r>
      <w:r>
        <w:rPr>
          <w:rFonts w:hint="default" w:eastAsiaTheme="minorEastAsia"/>
          <w:lang w:val="en-US" w:eastAsia="zh-CN"/>
        </w:rPr>
        <w:t>成员有回避事由、擅离职守或者因健康等原因不能继续</w:t>
      </w:r>
      <w:r>
        <w:rPr>
          <w:rFonts w:hint="eastAsia"/>
          <w:lang w:val="en-US" w:eastAsia="zh-CN"/>
        </w:rPr>
        <w:t>评审</w:t>
      </w:r>
      <w:r>
        <w:rPr>
          <w:rFonts w:hint="default" w:eastAsiaTheme="minorEastAsia"/>
          <w:lang w:val="en-US" w:eastAsia="zh-CN"/>
        </w:rPr>
        <w:t>的</w:t>
      </w:r>
      <w:r>
        <w:rPr>
          <w:rFonts w:hint="eastAsia"/>
          <w:lang w:val="en-US" w:eastAsia="zh-CN"/>
        </w:rPr>
        <w:t>，采购人</w:t>
      </w:r>
      <w:r>
        <w:rPr>
          <w:rFonts w:hint="default" w:eastAsiaTheme="minorEastAsia"/>
          <w:lang w:val="en-US" w:eastAsia="zh-CN"/>
        </w:rPr>
        <w:t>有权更换</w:t>
      </w:r>
      <w:r>
        <w:rPr>
          <w:rFonts w:hint="eastAsia"/>
          <w:lang w:val="en-US" w:eastAsia="zh-CN"/>
        </w:rPr>
        <w:t>。</w:t>
      </w:r>
      <w:r>
        <w:rPr>
          <w:rFonts w:hint="default" w:eastAsiaTheme="minorEastAsia"/>
          <w:lang w:val="en-US" w:eastAsia="zh-CN"/>
        </w:rPr>
        <w:t>被更换的</w:t>
      </w:r>
      <w:r>
        <w:rPr>
          <w:rFonts w:hint="eastAsia"/>
          <w:lang w:val="en-US" w:eastAsia="zh-CN"/>
        </w:rPr>
        <w:t>评审委员会</w:t>
      </w:r>
      <w:r>
        <w:rPr>
          <w:rFonts w:hint="default" w:eastAsiaTheme="minorEastAsia"/>
          <w:lang w:val="en-US" w:eastAsia="zh-CN"/>
        </w:rPr>
        <w:t>成员作出的评审结论无效</w:t>
      </w:r>
      <w:r>
        <w:rPr>
          <w:rFonts w:hint="eastAsia"/>
          <w:lang w:val="en-US" w:eastAsia="zh-CN"/>
        </w:rPr>
        <w:t>，</w:t>
      </w:r>
      <w:r>
        <w:rPr>
          <w:rFonts w:hint="default" w:eastAsiaTheme="minorEastAsia"/>
          <w:lang w:val="en-US" w:eastAsia="zh-CN"/>
        </w:rPr>
        <w:t>更换后的</w:t>
      </w:r>
      <w:r>
        <w:rPr>
          <w:rFonts w:hint="eastAsia"/>
          <w:lang w:val="en-US" w:eastAsia="zh-CN"/>
        </w:rPr>
        <w:t>评审委员会</w:t>
      </w:r>
      <w:r>
        <w:rPr>
          <w:rFonts w:hint="default" w:eastAsiaTheme="minorEastAsia"/>
          <w:lang w:val="en-US" w:eastAsia="zh-CN"/>
        </w:rPr>
        <w:t>成员重新进行评审</w:t>
      </w:r>
      <w:r>
        <w:rPr>
          <w:rFonts w:hint="eastAsia"/>
          <w:lang w:val="en-US" w:eastAsia="zh-CN"/>
        </w:rPr>
        <w:t>。</w:t>
      </w:r>
    </w:p>
    <w:p w14:paraId="3260140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.4</w:t>
      </w:r>
      <w:r>
        <w:rPr>
          <w:rFonts w:hint="eastAsia"/>
          <w:lang w:val="en-US" w:eastAsia="zh-CN"/>
        </w:rPr>
        <w:t>评审委员会</w:t>
      </w:r>
      <w:r>
        <w:rPr>
          <w:rFonts w:hint="default" w:eastAsiaTheme="minorEastAsia"/>
          <w:lang w:val="en-US" w:eastAsia="zh-CN"/>
        </w:rPr>
        <w:t>对</w:t>
      </w:r>
      <w:r>
        <w:rPr>
          <w:rFonts w:hint="eastAsia"/>
          <w:lang w:val="en-US" w:eastAsia="zh-CN"/>
        </w:rPr>
        <w:t>响应文件</w:t>
      </w:r>
      <w:r>
        <w:rPr>
          <w:rFonts w:hint="default" w:eastAsiaTheme="minorEastAsia"/>
          <w:lang w:val="en-US" w:eastAsia="zh-CN"/>
        </w:rPr>
        <w:t>响应性的判定基于</w:t>
      </w:r>
      <w:r>
        <w:rPr>
          <w:rFonts w:hint="eastAsia"/>
          <w:lang w:val="en-US" w:eastAsia="zh-CN"/>
        </w:rPr>
        <w:t>响应文件</w:t>
      </w:r>
      <w:r>
        <w:rPr>
          <w:rFonts w:hint="default" w:eastAsiaTheme="minorEastAsia"/>
          <w:lang w:val="en-US" w:eastAsia="zh-CN"/>
        </w:rPr>
        <w:t>本身的内容</w:t>
      </w:r>
      <w:r>
        <w:rPr>
          <w:rFonts w:hint="eastAsia"/>
          <w:lang w:val="en-US" w:eastAsia="zh-CN"/>
        </w:rPr>
        <w:t>，</w:t>
      </w:r>
      <w:r>
        <w:rPr>
          <w:rFonts w:hint="default" w:eastAsiaTheme="minorEastAsia"/>
          <w:lang w:val="en-US" w:eastAsia="zh-CN"/>
        </w:rPr>
        <w:t>而不寻</w:t>
      </w:r>
      <w:r>
        <w:rPr>
          <w:rFonts w:hint="eastAsia"/>
          <w:lang w:val="en-US" w:eastAsia="zh-CN"/>
        </w:rPr>
        <w:t>求</w:t>
      </w:r>
      <w:r>
        <w:rPr>
          <w:rFonts w:hint="default" w:eastAsiaTheme="minorEastAsia"/>
          <w:lang w:val="en-US" w:eastAsia="zh-CN"/>
        </w:rPr>
        <w:t>外部的证据</w:t>
      </w:r>
      <w:r>
        <w:rPr>
          <w:rFonts w:hint="eastAsia"/>
          <w:lang w:val="en-US" w:eastAsia="zh-CN"/>
        </w:rPr>
        <w:t>，</w:t>
      </w:r>
      <w:r>
        <w:rPr>
          <w:rFonts w:hint="default" w:eastAsiaTheme="minorEastAsia"/>
          <w:lang w:val="en-US" w:eastAsia="zh-CN"/>
        </w:rPr>
        <w:t>无论何种原因</w:t>
      </w:r>
      <w:r>
        <w:rPr>
          <w:rFonts w:hint="eastAsia"/>
          <w:lang w:val="en-US" w:eastAsia="zh-CN"/>
        </w:rPr>
        <w:t>，</w:t>
      </w:r>
      <w:r>
        <w:rPr>
          <w:rFonts w:hint="default" w:eastAsiaTheme="minorEastAsia"/>
          <w:lang w:val="en-US" w:eastAsia="zh-CN"/>
        </w:rPr>
        <w:t>即使</w:t>
      </w:r>
      <w:r>
        <w:rPr>
          <w:rFonts w:hint="eastAsia"/>
          <w:lang w:val="en-US" w:eastAsia="zh-CN"/>
        </w:rPr>
        <w:t>供应商开启</w:t>
      </w:r>
      <w:r>
        <w:rPr>
          <w:rFonts w:hint="default" w:eastAsiaTheme="minorEastAsia"/>
          <w:lang w:val="en-US" w:eastAsia="zh-CN"/>
        </w:rPr>
        <w:t>时携带了材料的原件</w:t>
      </w:r>
      <w:r>
        <w:rPr>
          <w:rFonts w:hint="eastAsia"/>
          <w:lang w:val="en-US" w:eastAsia="zh-CN"/>
        </w:rPr>
        <w:t>，</w:t>
      </w:r>
      <w:r>
        <w:rPr>
          <w:rFonts w:hint="default" w:eastAsiaTheme="minorEastAsia"/>
          <w:lang w:val="en-US" w:eastAsia="zh-CN"/>
        </w:rPr>
        <w:t>但在</w:t>
      </w:r>
      <w:r>
        <w:rPr>
          <w:rFonts w:hint="eastAsia"/>
          <w:lang w:val="en-US" w:eastAsia="zh-CN"/>
        </w:rPr>
        <w:t>响应文件中</w:t>
      </w:r>
      <w:r>
        <w:rPr>
          <w:rFonts w:hint="default" w:eastAsiaTheme="minorEastAsia"/>
          <w:lang w:val="en-US" w:eastAsia="zh-CN"/>
        </w:rPr>
        <w:t>未提供与之内容完全一致的复制件的</w:t>
      </w:r>
      <w:r>
        <w:rPr>
          <w:rFonts w:hint="eastAsia"/>
          <w:lang w:val="en-US" w:eastAsia="zh-CN"/>
        </w:rPr>
        <w:t>，评审委员会</w:t>
      </w:r>
      <w:r>
        <w:rPr>
          <w:rFonts w:hint="default" w:eastAsiaTheme="minorEastAsia"/>
          <w:lang w:val="en-US" w:eastAsia="zh-CN"/>
        </w:rPr>
        <w:t>可视</w:t>
      </w:r>
      <w:r>
        <w:rPr>
          <w:rFonts w:hint="eastAsia"/>
          <w:lang w:val="en-US" w:eastAsia="zh-CN"/>
        </w:rPr>
        <w:t>为</w:t>
      </w:r>
      <w:r>
        <w:rPr>
          <w:rFonts w:hint="default" w:eastAsiaTheme="minorEastAsia"/>
          <w:lang w:val="en-US" w:eastAsia="zh-CN"/>
        </w:rPr>
        <w:t>其未提供</w:t>
      </w:r>
      <w:r>
        <w:rPr>
          <w:rFonts w:hint="eastAsia"/>
          <w:lang w:val="en-US" w:eastAsia="zh-CN"/>
        </w:rPr>
        <w:t>。</w:t>
      </w:r>
    </w:p>
    <w:p w14:paraId="43BEDD2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.5如果</w:t>
      </w:r>
      <w:r>
        <w:rPr>
          <w:rFonts w:hint="eastAsia"/>
          <w:lang w:val="en-US" w:eastAsia="zh-CN"/>
        </w:rPr>
        <w:t>响应</w:t>
      </w:r>
      <w:r>
        <w:rPr>
          <w:rFonts w:hint="default" w:eastAsiaTheme="minorEastAsia"/>
          <w:lang w:val="en-US" w:eastAsia="zh-CN"/>
        </w:rPr>
        <w:t>没有实质性响应</w:t>
      </w:r>
      <w:r>
        <w:rPr>
          <w:rFonts w:hint="eastAsia"/>
          <w:lang w:val="en-US" w:eastAsia="zh-CN"/>
        </w:rPr>
        <w:t>询比</w:t>
      </w:r>
      <w:r>
        <w:rPr>
          <w:rFonts w:hint="default" w:eastAsiaTheme="minorEastAsia"/>
          <w:lang w:val="en-US" w:eastAsia="zh-CN"/>
        </w:rPr>
        <w:t>文件的要求</w:t>
      </w:r>
      <w:r>
        <w:rPr>
          <w:rFonts w:hint="eastAsia"/>
          <w:lang w:val="en-US" w:eastAsia="zh-CN"/>
        </w:rPr>
        <w:t>，</w:t>
      </w:r>
      <w:r>
        <w:rPr>
          <w:rFonts w:hint="default" w:eastAsiaTheme="minorEastAsia"/>
          <w:lang w:val="en-US" w:eastAsia="zh-CN"/>
        </w:rPr>
        <w:t>其</w:t>
      </w:r>
      <w:r>
        <w:rPr>
          <w:rFonts w:hint="eastAsia"/>
          <w:lang w:val="en-US" w:eastAsia="zh-CN"/>
        </w:rPr>
        <w:t>响应</w:t>
      </w:r>
      <w:r>
        <w:rPr>
          <w:rFonts w:hint="default" w:eastAsiaTheme="minorEastAsia"/>
          <w:lang w:val="en-US" w:eastAsia="zh-CN"/>
        </w:rPr>
        <w:t>将被否决</w:t>
      </w:r>
      <w:r>
        <w:rPr>
          <w:rFonts w:hint="eastAsia"/>
          <w:lang w:val="en-US" w:eastAsia="zh-CN"/>
        </w:rPr>
        <w:t>。供应商</w:t>
      </w:r>
      <w:r>
        <w:rPr>
          <w:rFonts w:hint="default" w:eastAsiaTheme="minorEastAsia"/>
          <w:lang w:val="en-US" w:eastAsia="zh-CN"/>
        </w:rPr>
        <w:t>不</w:t>
      </w:r>
      <w:r>
        <w:rPr>
          <w:rFonts w:hint="eastAsia"/>
          <w:lang w:val="en-US" w:eastAsia="zh-CN"/>
        </w:rPr>
        <w:t>得</w:t>
      </w:r>
      <w:r>
        <w:rPr>
          <w:rFonts w:hint="default" w:eastAsiaTheme="minorEastAsia"/>
          <w:lang w:val="en-US" w:eastAsia="zh-CN"/>
        </w:rPr>
        <w:t>通过修正或撤销</w:t>
      </w:r>
      <w:r>
        <w:rPr>
          <w:rFonts w:hint="eastAsia"/>
          <w:lang w:val="en-US" w:eastAsia="zh-CN"/>
        </w:rPr>
        <w:t>不符</w:t>
      </w:r>
      <w:r>
        <w:rPr>
          <w:rFonts w:hint="default" w:eastAsiaTheme="minorEastAsia"/>
          <w:lang w:val="en-US" w:eastAsia="zh-CN"/>
        </w:rPr>
        <w:t>合要求的偏离或保留从而使其</w:t>
      </w:r>
      <w:r>
        <w:rPr>
          <w:rFonts w:hint="eastAsia"/>
          <w:lang w:val="en-US" w:eastAsia="zh-CN"/>
        </w:rPr>
        <w:t>响应</w:t>
      </w:r>
      <w:r>
        <w:rPr>
          <w:rFonts w:hint="default" w:eastAsiaTheme="minorEastAsia"/>
          <w:lang w:val="en-US" w:eastAsia="zh-CN"/>
        </w:rPr>
        <w:t>成为实质性响应的</w:t>
      </w:r>
      <w:r>
        <w:rPr>
          <w:rFonts w:hint="eastAsia"/>
          <w:lang w:val="en-US" w:eastAsia="zh-CN"/>
        </w:rPr>
        <w:t>响应。</w:t>
      </w:r>
      <w:r>
        <w:rPr>
          <w:rFonts w:hint="default" w:eastAsiaTheme="minorEastAsia"/>
          <w:lang w:val="en-US" w:eastAsia="zh-CN"/>
        </w:rPr>
        <w:t>如现有下列情形之一的，其</w:t>
      </w:r>
      <w:r>
        <w:rPr>
          <w:rFonts w:hint="eastAsia"/>
          <w:lang w:val="en-US" w:eastAsia="zh-CN"/>
        </w:rPr>
        <w:t>响应</w:t>
      </w:r>
      <w:r>
        <w:rPr>
          <w:rFonts w:hint="default" w:eastAsiaTheme="minorEastAsia"/>
          <w:lang w:val="en-US" w:eastAsia="zh-CN"/>
        </w:rPr>
        <w:t>将被否决</w:t>
      </w:r>
      <w:r>
        <w:rPr>
          <w:rFonts w:hint="eastAsia"/>
          <w:lang w:val="en-US" w:eastAsia="zh-CN"/>
        </w:rPr>
        <w:t>：</w:t>
      </w:r>
    </w:p>
    <w:p w14:paraId="546321AF">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（1）供应商未提交响应担保或提交的担保不符合询比文件要求的：</w:t>
      </w:r>
    </w:p>
    <w:p w14:paraId="7D4C8860">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（2）资格和资质证明文件不全的或不满足询比文件的资格要求的：</w:t>
      </w:r>
    </w:p>
    <w:p w14:paraId="79218B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（3）响应有效期不足的；</w:t>
      </w:r>
    </w:p>
    <w:p w14:paraId="7AB2FA3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（4）响应文件商务和技术条款有重大偏离的；</w:t>
      </w:r>
    </w:p>
    <w:p w14:paraId="1DE748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（5）未提供询比文件要求的相关评审材料或格式文件造成重大影响无法审查的；</w:t>
      </w:r>
    </w:p>
    <w:p w14:paraId="7D82825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（6）响应文件提供虚假材料的；</w:t>
      </w:r>
    </w:p>
    <w:p w14:paraId="05CF40D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（7）响应文件附有采购人不能接受的条件的；</w:t>
      </w:r>
    </w:p>
    <w:p w14:paraId="4C1E5A9D">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（8）评审委员会发现供应商的报价明显低于其他报价，而供应商不能合理说明或者不能提供相关证明材料，由评审委员会认定该供应商以影响履约的异常价格进行报价竞标的；</w:t>
      </w:r>
    </w:p>
    <w:p w14:paraId="682073E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（9）不符合询比文件中规定的其他实质性要求的；</w:t>
      </w:r>
    </w:p>
    <w:p w14:paraId="5CD14F3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（10）在评审过程中，评审委员会发现供应商以他人的名义响应、串通响应、以行贿手段谋取中标或者以其他弄虚作假方式响应的；</w:t>
      </w:r>
    </w:p>
    <w:p w14:paraId="5B47554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（11）法律法规规定的其他否决响应的情形。</w:t>
      </w:r>
    </w:p>
    <w:p w14:paraId="01DF88E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15.6评审委员会只对在初审中确定为实质性响应的响应文件进行进一步的详细评审。</w:t>
      </w:r>
    </w:p>
    <w:p w14:paraId="77A252C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15.7出现下列情况之一时，评审委员会有权宣布废标：</w:t>
      </w:r>
    </w:p>
    <w:p w14:paraId="0FE0D03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（1）有效供应商数量不足，导致本次询比缺乏竞争的；</w:t>
      </w:r>
    </w:p>
    <w:p w14:paraId="5993368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（2）出现影响采购公正的违法、违规行为的；</w:t>
      </w:r>
    </w:p>
    <w:p w14:paraId="3F6156A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（3）供应商的报价均超过了采购预算，采购人不能支付的；</w:t>
      </w:r>
    </w:p>
    <w:p w14:paraId="6E04F6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（4）因重大变故，采购任务取消的；</w:t>
      </w:r>
    </w:p>
    <w:p w14:paraId="5ECAEC3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（5）评委评审后一致认定应予废标的。</w:t>
      </w:r>
    </w:p>
    <w:p w14:paraId="2A7695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lang w:val="en-US" w:eastAsia="zh-CN"/>
        </w:rPr>
      </w:pPr>
      <w:r>
        <w:rPr>
          <w:rFonts w:hint="eastAsia"/>
          <w:lang w:val="en-US" w:eastAsia="zh-CN"/>
        </w:rPr>
        <w:t>15.8询比文件中如明确标明需要携带各项资质证书、获奖证书、证明文件、合同成交通知书等材料原件以备评审委员会查验的，供应商须将相关原件单独用一个密封袋封装，注明“原件”和“供应商全称”字样并列明清单备查。相关原件返还时，供应商应当场清点，事后提出相关异议的，概不受理。</w:t>
      </w:r>
    </w:p>
    <w:p w14:paraId="457827BE">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16.</w:t>
      </w:r>
      <w:r>
        <w:rPr>
          <w:rFonts w:hint="eastAsia"/>
          <w:lang w:eastAsia="zh-CN"/>
        </w:rPr>
        <w:t>响应文件</w:t>
      </w:r>
      <w:r>
        <w:rPr>
          <w:rFonts w:hint="eastAsia"/>
        </w:rPr>
        <w:t>的澄清</w:t>
      </w:r>
    </w:p>
    <w:p w14:paraId="2D3E418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16</w:t>
      </w:r>
      <w:r>
        <w:rPr>
          <w:rFonts w:hint="eastAsia"/>
        </w:rPr>
        <w:t>.1对于</w:t>
      </w:r>
      <w:r>
        <w:rPr>
          <w:rFonts w:hint="eastAsia"/>
          <w:lang w:eastAsia="zh-CN"/>
        </w:rPr>
        <w:t>响应文件</w:t>
      </w:r>
      <w:r>
        <w:rPr>
          <w:rFonts w:hint="eastAsia"/>
        </w:rPr>
        <w:t>中含义不明确、同类问题表述不一致或者有明显文字和计算错误的内容</w:t>
      </w:r>
      <w:r>
        <w:rPr>
          <w:rFonts w:hint="eastAsia"/>
          <w:lang w:eastAsia="zh-CN"/>
        </w:rPr>
        <w:t>，评审委员会</w:t>
      </w:r>
      <w:r>
        <w:rPr>
          <w:rFonts w:hint="eastAsia"/>
        </w:rPr>
        <w:t>应当以书面形式要求</w:t>
      </w:r>
      <w:r>
        <w:rPr>
          <w:rFonts w:hint="eastAsia"/>
          <w:lang w:eastAsia="zh-CN"/>
        </w:rPr>
        <w:t>供应商</w:t>
      </w:r>
      <w:r>
        <w:rPr>
          <w:rFonts w:hint="eastAsia"/>
        </w:rPr>
        <w:t>作出必要的澄清、说明或者补正</w:t>
      </w:r>
      <w:r>
        <w:rPr>
          <w:rFonts w:hint="eastAsia"/>
          <w:lang w:eastAsia="zh-CN"/>
        </w:rPr>
        <w:t>。</w:t>
      </w:r>
    </w:p>
    <w:p w14:paraId="46808B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16</w:t>
      </w:r>
      <w:r>
        <w:rPr>
          <w:rFonts w:hint="eastAsia"/>
        </w:rPr>
        <w:t>.2</w:t>
      </w:r>
      <w:r>
        <w:rPr>
          <w:rFonts w:hint="eastAsia"/>
          <w:lang w:eastAsia="zh-CN"/>
        </w:rPr>
        <w:t>供应商</w:t>
      </w:r>
      <w:r>
        <w:rPr>
          <w:rFonts w:hint="eastAsia"/>
        </w:rPr>
        <w:t>的澄清、说明或者补正应当采用书面形式</w:t>
      </w:r>
      <w:r>
        <w:rPr>
          <w:rFonts w:hint="eastAsia"/>
          <w:lang w:eastAsia="zh-CN"/>
        </w:rPr>
        <w:t>，</w:t>
      </w:r>
      <w:r>
        <w:rPr>
          <w:rFonts w:hint="eastAsia"/>
        </w:rPr>
        <w:t>并加盖公章或者由法定代表人</w:t>
      </w:r>
      <w:r>
        <w:rPr>
          <w:rFonts w:hint="eastAsia"/>
          <w:lang w:eastAsia="zh-CN"/>
        </w:rPr>
        <w:t>（</w:t>
      </w:r>
      <w:r>
        <w:rPr>
          <w:rFonts w:hint="eastAsia"/>
        </w:rPr>
        <w:t>单位负责人</w:t>
      </w:r>
      <w:r>
        <w:rPr>
          <w:rFonts w:hint="eastAsia"/>
          <w:lang w:eastAsia="zh-CN"/>
        </w:rPr>
        <w:t>）</w:t>
      </w:r>
      <w:r>
        <w:rPr>
          <w:rFonts w:hint="eastAsia"/>
        </w:rPr>
        <w:t>或其授权的代表签字</w:t>
      </w:r>
      <w:r>
        <w:rPr>
          <w:rFonts w:hint="eastAsia"/>
          <w:lang w:eastAsia="zh-CN"/>
        </w:rPr>
        <w:t>。供应商</w:t>
      </w:r>
      <w:r>
        <w:rPr>
          <w:rFonts w:hint="eastAsia"/>
        </w:rPr>
        <w:t>的澄清、说明或者补正不得超出</w:t>
      </w:r>
      <w:r>
        <w:rPr>
          <w:rFonts w:hint="eastAsia"/>
          <w:lang w:eastAsia="zh-CN"/>
        </w:rPr>
        <w:t>响应文件</w:t>
      </w:r>
      <w:r>
        <w:rPr>
          <w:rFonts w:hint="eastAsia"/>
        </w:rPr>
        <w:t>的范围或者改变</w:t>
      </w:r>
      <w:r>
        <w:rPr>
          <w:rFonts w:hint="eastAsia"/>
          <w:lang w:eastAsia="zh-CN"/>
        </w:rPr>
        <w:t>响应文件</w:t>
      </w:r>
      <w:r>
        <w:rPr>
          <w:rFonts w:hint="eastAsia"/>
        </w:rPr>
        <w:t>的实质性内容</w:t>
      </w:r>
    </w:p>
    <w:p w14:paraId="4733C9B2">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50" w:name="_Toc246996950"/>
      <w:bookmarkStart w:id="151" w:name="_Toc296602452"/>
      <w:bookmarkStart w:id="152" w:name="_Toc246996207"/>
      <w:bookmarkStart w:id="153" w:name="_Toc152042339"/>
      <w:bookmarkStart w:id="154" w:name="_Toc152045563"/>
      <w:bookmarkStart w:id="155" w:name="_Toc144974531"/>
      <w:bookmarkStart w:id="156" w:name="_Toc247085721"/>
      <w:bookmarkStart w:id="157" w:name="_Toc179632581"/>
      <w:r>
        <w:rPr>
          <w:rFonts w:hint="eastAsia"/>
          <w:lang w:val="en-US" w:eastAsia="zh-CN"/>
        </w:rPr>
        <w:t>17.</w:t>
      </w:r>
      <w:bookmarkEnd w:id="150"/>
      <w:bookmarkEnd w:id="151"/>
      <w:bookmarkEnd w:id="152"/>
      <w:bookmarkEnd w:id="153"/>
      <w:bookmarkEnd w:id="154"/>
      <w:bookmarkEnd w:id="155"/>
      <w:bookmarkEnd w:id="156"/>
      <w:bookmarkEnd w:id="157"/>
      <w:r>
        <w:rPr>
          <w:rFonts w:hint="eastAsia"/>
          <w:lang w:eastAsia="zh-CN"/>
        </w:rPr>
        <w:t>响应文件</w:t>
      </w:r>
      <w:r>
        <w:rPr>
          <w:rFonts w:hint="eastAsia"/>
        </w:rPr>
        <w:t>的详细评审</w:t>
      </w:r>
    </w:p>
    <w:p w14:paraId="0295E65A">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.1在初步评审中</w:t>
      </w:r>
      <w:r>
        <w:rPr>
          <w:rFonts w:hint="eastAsia"/>
          <w:lang w:eastAsia="zh-CN"/>
        </w:rPr>
        <w:t>，</w:t>
      </w:r>
      <w:r>
        <w:rPr>
          <w:rFonts w:hint="eastAsia"/>
        </w:rPr>
        <w:t>若</w:t>
      </w:r>
      <w:r>
        <w:rPr>
          <w:rFonts w:hint="eastAsia"/>
          <w:lang w:eastAsia="zh-CN"/>
        </w:rPr>
        <w:t>评审委员会</w:t>
      </w:r>
      <w:r>
        <w:rPr>
          <w:rFonts w:hint="eastAsia"/>
        </w:rPr>
        <w:t>成员对同一</w:t>
      </w:r>
      <w:r>
        <w:rPr>
          <w:rFonts w:hint="eastAsia"/>
          <w:lang w:eastAsia="zh-CN"/>
        </w:rPr>
        <w:t>供应商</w:t>
      </w:r>
      <w:r>
        <w:rPr>
          <w:rFonts w:hint="eastAsia"/>
        </w:rPr>
        <w:t>的评审结论不一致的</w:t>
      </w:r>
      <w:r>
        <w:rPr>
          <w:rFonts w:hint="eastAsia"/>
          <w:lang w:eastAsia="zh-CN"/>
        </w:rPr>
        <w:t>，</w:t>
      </w:r>
      <w:r>
        <w:rPr>
          <w:rFonts w:hint="eastAsia"/>
        </w:rPr>
        <w:t>按照少数服从多数原则确定最终初步评审结论</w:t>
      </w:r>
      <w:r>
        <w:rPr>
          <w:rFonts w:hint="eastAsia"/>
          <w:lang w:eastAsia="zh-CN"/>
        </w:rPr>
        <w:t>。评审委员会</w:t>
      </w:r>
      <w:r>
        <w:rPr>
          <w:rFonts w:hint="eastAsia"/>
        </w:rPr>
        <w:t>只对通过初步评审的</w:t>
      </w:r>
      <w:r>
        <w:rPr>
          <w:rFonts w:hint="eastAsia"/>
          <w:lang w:eastAsia="zh-CN"/>
        </w:rPr>
        <w:t>响应文件</w:t>
      </w:r>
      <w:r>
        <w:rPr>
          <w:rFonts w:hint="eastAsia"/>
        </w:rPr>
        <w:t>进行详细评审</w:t>
      </w:r>
      <w:r>
        <w:rPr>
          <w:rFonts w:hint="eastAsia"/>
          <w:lang w:eastAsia="zh-CN"/>
        </w:rPr>
        <w:t>。</w:t>
      </w:r>
    </w:p>
    <w:p w14:paraId="12A21C3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rPr>
        <w:t>.2</w:t>
      </w:r>
      <w:r>
        <w:rPr>
          <w:rFonts w:hint="eastAsia"/>
          <w:lang w:eastAsia="zh-CN"/>
        </w:rPr>
        <w:t>供应商</w:t>
      </w:r>
      <w:r>
        <w:rPr>
          <w:rFonts w:hint="eastAsia"/>
          <w:lang w:val="en-US" w:eastAsia="zh-CN"/>
        </w:rPr>
        <w:t>响应</w:t>
      </w:r>
      <w:r>
        <w:rPr>
          <w:rFonts w:hint="eastAsia"/>
        </w:rPr>
        <w:t>报价修正</w:t>
      </w:r>
      <w:r>
        <w:rPr>
          <w:rFonts w:hint="eastAsia"/>
          <w:lang w:eastAsia="zh-CN"/>
        </w:rPr>
        <w:t>。</w:t>
      </w:r>
      <w:r>
        <w:rPr>
          <w:rFonts w:hint="eastAsia"/>
        </w:rPr>
        <w:t>由</w:t>
      </w:r>
      <w:r>
        <w:rPr>
          <w:rFonts w:hint="eastAsia"/>
          <w:lang w:eastAsia="zh-CN"/>
        </w:rPr>
        <w:t>评审委员会</w:t>
      </w:r>
      <w:r>
        <w:rPr>
          <w:rFonts w:hint="eastAsia"/>
        </w:rPr>
        <w:t>根据</w:t>
      </w:r>
      <w:r>
        <w:rPr>
          <w:rFonts w:hint="eastAsia"/>
          <w:lang w:eastAsia="zh-CN"/>
        </w:rPr>
        <w:t>询比</w:t>
      </w:r>
      <w:r>
        <w:rPr>
          <w:rFonts w:hint="eastAsia"/>
        </w:rPr>
        <w:t>文件的要求，以</w:t>
      </w:r>
      <w:r>
        <w:rPr>
          <w:rFonts w:hint="eastAsia"/>
          <w:lang w:eastAsia="zh-CN"/>
        </w:rPr>
        <w:t>询比</w:t>
      </w:r>
      <w:r>
        <w:rPr>
          <w:rFonts w:hint="eastAsia"/>
        </w:rPr>
        <w:t>文件规定的</w:t>
      </w:r>
      <w:r>
        <w:rPr>
          <w:rFonts w:hint="eastAsia"/>
          <w:lang w:val="en-US" w:eastAsia="zh-CN"/>
        </w:rPr>
        <w:t>询比</w:t>
      </w:r>
      <w:r>
        <w:rPr>
          <w:rFonts w:hint="eastAsia"/>
        </w:rPr>
        <w:t>范围为基准</w:t>
      </w:r>
      <w:r>
        <w:rPr>
          <w:rFonts w:hint="eastAsia"/>
          <w:lang w:eastAsia="zh-CN"/>
        </w:rPr>
        <w:t>，</w:t>
      </w:r>
      <w:r>
        <w:rPr>
          <w:rFonts w:hint="eastAsia"/>
        </w:rPr>
        <w:t>对各</w:t>
      </w:r>
      <w:r>
        <w:rPr>
          <w:rFonts w:hint="eastAsia"/>
          <w:lang w:eastAsia="zh-CN"/>
        </w:rPr>
        <w:t>供应商</w:t>
      </w:r>
      <w:r>
        <w:rPr>
          <w:rFonts w:hint="eastAsia"/>
        </w:rPr>
        <w:t>的报价内容和范围进行核定</w:t>
      </w:r>
      <w:r>
        <w:rPr>
          <w:rFonts w:hint="eastAsia"/>
          <w:lang w:eastAsia="zh-CN"/>
        </w:rPr>
        <w:t>，</w:t>
      </w:r>
      <w:r>
        <w:rPr>
          <w:rFonts w:hint="eastAsia"/>
        </w:rPr>
        <w:t>以确定其</w:t>
      </w:r>
      <w:r>
        <w:rPr>
          <w:rFonts w:hint="eastAsia"/>
          <w:lang w:eastAsia="zh-CN"/>
        </w:rPr>
        <w:t>报价</w:t>
      </w:r>
      <w:r>
        <w:rPr>
          <w:rFonts w:hint="eastAsia"/>
        </w:rPr>
        <w:t>总价的合理性和有效性</w:t>
      </w:r>
      <w:r>
        <w:rPr>
          <w:rFonts w:hint="eastAsia"/>
          <w:lang w:eastAsia="zh-CN"/>
        </w:rPr>
        <w:t>，</w:t>
      </w:r>
      <w:r>
        <w:rPr>
          <w:rFonts w:hint="eastAsia"/>
        </w:rPr>
        <w:t>并调整到同一可比基准</w:t>
      </w:r>
      <w:r>
        <w:rPr>
          <w:rFonts w:hint="eastAsia"/>
          <w:lang w:eastAsia="zh-CN"/>
        </w:rPr>
        <w:t>。</w:t>
      </w:r>
      <w:r>
        <w:rPr>
          <w:rFonts w:hint="eastAsia"/>
          <w:lang w:val="en-US" w:eastAsia="zh-CN"/>
        </w:rPr>
        <w:t>检查和评审承诺服务范围完整性</w:t>
      </w:r>
      <w:r>
        <w:rPr>
          <w:rFonts w:hint="eastAsia"/>
          <w:lang w:eastAsia="zh-CN"/>
        </w:rPr>
        <w:t>，</w:t>
      </w:r>
      <w:r>
        <w:rPr>
          <w:rFonts w:hint="eastAsia"/>
          <w:lang w:val="en-US" w:eastAsia="zh-CN"/>
        </w:rPr>
        <w:t>供应商缺报、漏报项的，</w:t>
      </w:r>
      <w:r>
        <w:rPr>
          <w:rFonts w:hint="eastAsia"/>
        </w:rPr>
        <w:t>将以其他</w:t>
      </w:r>
      <w:r>
        <w:rPr>
          <w:rFonts w:hint="eastAsia"/>
          <w:lang w:eastAsia="zh-CN"/>
        </w:rPr>
        <w:t>供应商</w:t>
      </w:r>
      <w:r>
        <w:rPr>
          <w:rFonts w:hint="eastAsia"/>
        </w:rPr>
        <w:t>所报该项目的最高价增加该</w:t>
      </w:r>
      <w:r>
        <w:rPr>
          <w:rFonts w:hint="eastAsia"/>
          <w:lang w:eastAsia="zh-CN"/>
        </w:rPr>
        <w:t>供应商</w:t>
      </w:r>
      <w:r>
        <w:rPr>
          <w:rFonts w:hint="eastAsia"/>
        </w:rPr>
        <w:t>的</w:t>
      </w:r>
      <w:r>
        <w:rPr>
          <w:rFonts w:hint="eastAsia"/>
          <w:lang w:val="en-US" w:eastAsia="zh-CN"/>
        </w:rPr>
        <w:t>评审价。该评审</w:t>
      </w:r>
      <w:r>
        <w:rPr>
          <w:rFonts w:hint="eastAsia"/>
        </w:rPr>
        <w:t>价</w:t>
      </w:r>
      <w:r>
        <w:rPr>
          <w:rFonts w:hint="eastAsia"/>
          <w:lang w:val="en-US" w:eastAsia="zh-CN"/>
        </w:rPr>
        <w:t>仅</w:t>
      </w:r>
      <w:r>
        <w:rPr>
          <w:rFonts w:hint="eastAsia"/>
        </w:rPr>
        <w:t>为</w:t>
      </w:r>
      <w:r>
        <w:rPr>
          <w:rFonts w:hint="eastAsia"/>
          <w:lang w:val="en-US" w:eastAsia="zh-CN"/>
        </w:rPr>
        <w:t>评审</w:t>
      </w:r>
      <w:r>
        <w:rPr>
          <w:rFonts w:hint="eastAsia"/>
        </w:rPr>
        <w:t>比较之用，</w:t>
      </w:r>
      <w:r>
        <w:rPr>
          <w:rFonts w:hint="eastAsia"/>
          <w:lang w:eastAsia="zh-CN"/>
        </w:rPr>
        <w:t>供应商</w:t>
      </w:r>
      <w:r>
        <w:rPr>
          <w:rFonts w:hint="eastAsia"/>
        </w:rPr>
        <w:t>的</w:t>
      </w:r>
      <w:r>
        <w:rPr>
          <w:rFonts w:hint="eastAsia"/>
          <w:lang w:eastAsia="zh-CN"/>
        </w:rPr>
        <w:t>响应</w:t>
      </w:r>
      <w:r>
        <w:rPr>
          <w:rFonts w:hint="eastAsia"/>
        </w:rPr>
        <w:t>价仍然不变</w:t>
      </w:r>
      <w:r>
        <w:rPr>
          <w:rFonts w:hint="eastAsia"/>
          <w:lang w:eastAsia="zh-CN"/>
        </w:rPr>
        <w:t>。</w:t>
      </w:r>
      <w:r>
        <w:rPr>
          <w:rFonts w:hint="eastAsia"/>
        </w:rPr>
        <w:t>若</w:t>
      </w:r>
      <w:r>
        <w:rPr>
          <w:rFonts w:hint="eastAsia"/>
          <w:lang w:eastAsia="zh-CN"/>
        </w:rPr>
        <w:t>供应商</w:t>
      </w:r>
      <w:r>
        <w:rPr>
          <w:rFonts w:hint="eastAsia"/>
        </w:rPr>
        <w:t>提供了</w:t>
      </w:r>
      <w:r>
        <w:rPr>
          <w:rFonts w:hint="eastAsia"/>
          <w:lang w:val="en-US" w:eastAsia="zh-CN"/>
        </w:rPr>
        <w:t>超过询比文件要求</w:t>
      </w:r>
      <w:r>
        <w:rPr>
          <w:rFonts w:hint="eastAsia"/>
        </w:rPr>
        <w:t>的</w:t>
      </w:r>
      <w:r>
        <w:rPr>
          <w:rFonts w:hint="eastAsia"/>
          <w:lang w:val="en-US" w:eastAsia="zh-CN"/>
        </w:rPr>
        <w:t>功</w:t>
      </w:r>
      <w:r>
        <w:rPr>
          <w:rFonts w:hint="eastAsia"/>
        </w:rPr>
        <w:t>能、部件或服务</w:t>
      </w:r>
      <w:r>
        <w:rPr>
          <w:rFonts w:hint="eastAsia"/>
          <w:lang w:eastAsia="zh-CN"/>
        </w:rPr>
        <w:t>，</w:t>
      </w:r>
      <w:r>
        <w:rPr>
          <w:rFonts w:hint="eastAsia"/>
        </w:rPr>
        <w:t>不</w:t>
      </w:r>
      <w:r>
        <w:rPr>
          <w:rFonts w:hint="eastAsia"/>
          <w:lang w:val="en-US" w:eastAsia="zh-CN"/>
        </w:rPr>
        <w:t>予</w:t>
      </w:r>
      <w:r>
        <w:rPr>
          <w:rFonts w:hint="eastAsia"/>
        </w:rPr>
        <w:t>核减</w:t>
      </w:r>
      <w:r>
        <w:rPr>
          <w:rFonts w:hint="eastAsia"/>
          <w:lang w:eastAsia="zh-CN"/>
        </w:rPr>
        <w:t>。</w:t>
      </w:r>
      <w:r>
        <w:rPr>
          <w:rFonts w:hint="eastAsia"/>
        </w:rPr>
        <w:t>评审后的</w:t>
      </w:r>
      <w:r>
        <w:rPr>
          <w:rFonts w:hint="eastAsia"/>
          <w:lang w:eastAsia="zh-CN"/>
        </w:rPr>
        <w:t>报价</w:t>
      </w:r>
      <w:r>
        <w:rPr>
          <w:rFonts w:hint="eastAsia"/>
        </w:rPr>
        <w:t>总价作为价格评</w:t>
      </w:r>
      <w:r>
        <w:rPr>
          <w:rFonts w:hint="eastAsia"/>
          <w:lang w:val="en-US" w:eastAsia="zh-CN"/>
        </w:rPr>
        <w:t>审的依据。</w:t>
      </w:r>
    </w:p>
    <w:p w14:paraId="1D4A1EE1">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lang w:eastAsia="zh-CN"/>
        </w:rPr>
        <w:t>.</w:t>
      </w:r>
      <w:r>
        <w:rPr>
          <w:rFonts w:hint="eastAsia"/>
        </w:rPr>
        <w:t>3</w:t>
      </w:r>
      <w:r>
        <w:rPr>
          <w:rFonts w:hint="eastAsia"/>
          <w:lang w:eastAsia="zh-CN"/>
        </w:rPr>
        <w:t>响应文件</w:t>
      </w:r>
      <w:r>
        <w:rPr>
          <w:rFonts w:hint="eastAsia"/>
        </w:rPr>
        <w:t>报价出现前后不一致的</w:t>
      </w:r>
      <w:r>
        <w:rPr>
          <w:rFonts w:hint="eastAsia"/>
          <w:lang w:eastAsia="zh-CN"/>
        </w:rPr>
        <w:t>，</w:t>
      </w:r>
      <w:r>
        <w:rPr>
          <w:rFonts w:hint="eastAsia"/>
        </w:rPr>
        <w:t>除</w:t>
      </w:r>
      <w:r>
        <w:rPr>
          <w:rFonts w:hint="eastAsia"/>
          <w:lang w:eastAsia="zh-CN"/>
        </w:rPr>
        <w:t>供应商</w:t>
      </w:r>
      <w:r>
        <w:rPr>
          <w:rFonts w:hint="eastAsia"/>
        </w:rPr>
        <w:t>须知前附表另有规定外</w:t>
      </w:r>
      <w:r>
        <w:rPr>
          <w:rFonts w:hint="eastAsia"/>
          <w:lang w:eastAsia="zh-CN"/>
        </w:rPr>
        <w:t>，</w:t>
      </w:r>
      <w:r>
        <w:rPr>
          <w:rFonts w:hint="eastAsia"/>
          <w:lang w:val="en-US" w:eastAsia="zh-CN"/>
        </w:rPr>
        <w:t>按照下列规定修正：</w:t>
      </w:r>
    </w:p>
    <w:p w14:paraId="48A2990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1</w:t>
      </w:r>
      <w:r>
        <w:rPr>
          <w:rFonts w:hint="eastAsia"/>
          <w:lang w:eastAsia="zh-CN"/>
        </w:rPr>
        <w:t>）响应文件</w:t>
      </w:r>
      <w:r>
        <w:rPr>
          <w:rFonts w:hint="eastAsia"/>
        </w:rPr>
        <w:t>中报价表内容与</w:t>
      </w:r>
      <w:r>
        <w:rPr>
          <w:rFonts w:hint="eastAsia"/>
          <w:lang w:eastAsia="zh-CN"/>
        </w:rPr>
        <w:t>响应文件</w:t>
      </w:r>
      <w:r>
        <w:rPr>
          <w:rFonts w:hint="eastAsia"/>
        </w:rPr>
        <w:t>中相应内容不一致的</w:t>
      </w:r>
      <w:r>
        <w:rPr>
          <w:rFonts w:hint="eastAsia"/>
          <w:lang w:eastAsia="zh-CN"/>
        </w:rPr>
        <w:t>，</w:t>
      </w:r>
      <w:r>
        <w:rPr>
          <w:rFonts w:hint="eastAsia"/>
          <w:lang w:val="en-US" w:eastAsia="zh-CN"/>
        </w:rPr>
        <w:t>以</w:t>
      </w:r>
      <w:r>
        <w:rPr>
          <w:rFonts w:hint="eastAsia"/>
        </w:rPr>
        <w:t>报价表为准</w:t>
      </w:r>
      <w:r>
        <w:rPr>
          <w:rFonts w:hint="eastAsia"/>
          <w:lang w:eastAsia="zh-CN"/>
        </w:rPr>
        <w:t>；</w:t>
      </w:r>
    </w:p>
    <w:p w14:paraId="0271BD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2</w:t>
      </w:r>
      <w:r>
        <w:rPr>
          <w:rFonts w:hint="eastAsia"/>
          <w:lang w:eastAsia="zh-CN"/>
        </w:rPr>
        <w:t>）</w:t>
      </w:r>
      <w:r>
        <w:rPr>
          <w:rFonts w:hint="eastAsia"/>
        </w:rPr>
        <w:t>大写金额和小写金额不一致的</w:t>
      </w:r>
      <w:r>
        <w:rPr>
          <w:rFonts w:hint="eastAsia"/>
          <w:lang w:eastAsia="zh-CN"/>
        </w:rPr>
        <w:t>，</w:t>
      </w:r>
      <w:r>
        <w:rPr>
          <w:rFonts w:hint="eastAsia"/>
        </w:rPr>
        <w:t>以大写金额为准</w:t>
      </w:r>
      <w:r>
        <w:rPr>
          <w:rFonts w:hint="eastAsia"/>
          <w:lang w:eastAsia="zh-CN"/>
        </w:rPr>
        <w:t>；</w:t>
      </w:r>
    </w:p>
    <w:p w14:paraId="2EC97CD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单价金额小数点或者百分比有明显错位的</w:t>
      </w:r>
      <w:r>
        <w:rPr>
          <w:rFonts w:hint="eastAsia"/>
          <w:lang w:eastAsia="zh-CN"/>
        </w:rPr>
        <w:t>，</w:t>
      </w:r>
      <w:r>
        <w:rPr>
          <w:rFonts w:hint="eastAsia"/>
        </w:rPr>
        <w:t>以报价表的总价为准</w:t>
      </w:r>
      <w:r>
        <w:rPr>
          <w:rFonts w:hint="eastAsia"/>
          <w:lang w:eastAsia="zh-CN"/>
        </w:rPr>
        <w:t>，</w:t>
      </w:r>
      <w:r>
        <w:rPr>
          <w:rFonts w:hint="eastAsia"/>
          <w:lang w:val="en-US" w:eastAsia="zh-CN"/>
        </w:rPr>
        <w:t>并</w:t>
      </w:r>
      <w:r>
        <w:rPr>
          <w:rFonts w:hint="eastAsia"/>
        </w:rPr>
        <w:t>修改单价</w:t>
      </w:r>
      <w:r>
        <w:rPr>
          <w:rFonts w:hint="eastAsia"/>
          <w:lang w:eastAsia="zh-CN"/>
        </w:rPr>
        <w:t>；</w:t>
      </w:r>
    </w:p>
    <w:p w14:paraId="5691EFD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4</w:t>
      </w:r>
      <w:r>
        <w:rPr>
          <w:rFonts w:hint="eastAsia"/>
          <w:lang w:eastAsia="zh-CN"/>
        </w:rPr>
        <w:t>）</w:t>
      </w:r>
      <w:r>
        <w:rPr>
          <w:rFonts w:hint="eastAsia"/>
        </w:rPr>
        <w:t>总价金额与按单价汇总金额不一致的</w:t>
      </w:r>
      <w:r>
        <w:rPr>
          <w:rFonts w:hint="eastAsia"/>
          <w:lang w:eastAsia="zh-CN"/>
        </w:rPr>
        <w:t>，</w:t>
      </w:r>
      <w:r>
        <w:rPr>
          <w:rFonts w:hint="eastAsia"/>
        </w:rPr>
        <w:t>以单价金额计算结果为准</w:t>
      </w:r>
      <w:r>
        <w:rPr>
          <w:rFonts w:hint="eastAsia"/>
          <w:lang w:eastAsia="zh-CN"/>
        </w:rPr>
        <w:t>。</w:t>
      </w:r>
    </w:p>
    <w:p w14:paraId="49AE74C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同时出现两种以上不一致的</w:t>
      </w:r>
      <w:r>
        <w:rPr>
          <w:rFonts w:hint="eastAsia"/>
          <w:lang w:eastAsia="zh-CN"/>
        </w:rPr>
        <w:t>，</w:t>
      </w:r>
      <w:r>
        <w:rPr>
          <w:rFonts w:hint="eastAsia"/>
        </w:rPr>
        <w:t>按照有利于非过错方的公平公正原则进行</w:t>
      </w:r>
      <w:r>
        <w:rPr>
          <w:rFonts w:hint="eastAsia"/>
          <w:lang w:val="en-US" w:eastAsia="zh-CN"/>
        </w:rPr>
        <w:t>修正，</w:t>
      </w:r>
      <w:r>
        <w:rPr>
          <w:rFonts w:hint="eastAsia"/>
        </w:rPr>
        <w:t>修正后的报价经</w:t>
      </w:r>
      <w:r>
        <w:rPr>
          <w:rFonts w:hint="eastAsia"/>
          <w:lang w:eastAsia="zh-CN"/>
        </w:rPr>
        <w:t>供应商</w:t>
      </w:r>
      <w:r>
        <w:rPr>
          <w:rFonts w:hint="eastAsia"/>
        </w:rPr>
        <w:t>确认后产生约束力</w:t>
      </w:r>
      <w:r>
        <w:rPr>
          <w:rFonts w:hint="eastAsia"/>
          <w:lang w:eastAsia="zh-CN"/>
        </w:rPr>
        <w:t>，供应商</w:t>
      </w:r>
      <w:r>
        <w:rPr>
          <w:rFonts w:hint="eastAsia"/>
        </w:rPr>
        <w:t>不确认的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4D6A0D1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.4</w:t>
      </w:r>
      <w:r>
        <w:rPr>
          <w:rFonts w:hint="eastAsia"/>
          <w:lang w:eastAsia="zh-CN"/>
        </w:rPr>
        <w:t>供应商</w:t>
      </w:r>
      <w:r>
        <w:rPr>
          <w:rFonts w:hint="eastAsia"/>
        </w:rPr>
        <w:t>不足3家处理预案</w:t>
      </w:r>
      <w:r>
        <w:rPr>
          <w:rFonts w:hint="eastAsia"/>
          <w:lang w:eastAsia="zh-CN"/>
        </w:rPr>
        <w:t>。</w:t>
      </w:r>
    </w:p>
    <w:p w14:paraId="300A60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响应文件</w:t>
      </w:r>
      <w:r>
        <w:rPr>
          <w:rFonts w:hint="eastAsia"/>
        </w:rPr>
        <w:t>提交截止时间后</w:t>
      </w:r>
      <w:r>
        <w:rPr>
          <w:rFonts w:hint="eastAsia"/>
          <w:lang w:eastAsia="zh-CN"/>
        </w:rPr>
        <w:t>供应商</w:t>
      </w:r>
      <w:r>
        <w:rPr>
          <w:rFonts w:hint="eastAsia"/>
        </w:rPr>
        <w:t>不足3家的</w:t>
      </w:r>
      <w:r>
        <w:rPr>
          <w:rFonts w:hint="eastAsia"/>
          <w:lang w:eastAsia="zh-CN"/>
        </w:rPr>
        <w:t>，采购人</w:t>
      </w:r>
      <w:r>
        <w:rPr>
          <w:rFonts w:hint="eastAsia"/>
        </w:rPr>
        <w:t>可以因</w:t>
      </w:r>
      <w:r>
        <w:rPr>
          <w:rFonts w:hint="eastAsia"/>
          <w:lang w:val="en-US" w:eastAsia="zh-CN"/>
        </w:rPr>
        <w:t>竞</w:t>
      </w:r>
      <w:r>
        <w:rPr>
          <w:rFonts w:hint="eastAsia"/>
        </w:rPr>
        <w:t>争性不足宣布流标</w:t>
      </w:r>
      <w:r>
        <w:rPr>
          <w:rFonts w:hint="eastAsia"/>
          <w:lang w:eastAsia="zh-CN"/>
        </w:rPr>
        <w:t>，</w:t>
      </w:r>
      <w:r>
        <w:rPr>
          <w:rFonts w:hint="eastAsia"/>
        </w:rPr>
        <w:t>或在征得现场</w:t>
      </w:r>
      <w:r>
        <w:rPr>
          <w:rFonts w:hint="eastAsia"/>
          <w:lang w:eastAsia="zh-CN"/>
        </w:rPr>
        <w:t>供应商</w:t>
      </w:r>
      <w:r>
        <w:rPr>
          <w:rFonts w:hint="eastAsia"/>
        </w:rPr>
        <w:t>同意下转为其他采购方式</w:t>
      </w:r>
      <w:r>
        <w:rPr>
          <w:rFonts w:hint="eastAsia"/>
          <w:lang w:eastAsia="zh-CN"/>
        </w:rPr>
        <w:t>。</w:t>
      </w:r>
    </w:p>
    <w:p w14:paraId="07F8DE2F">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18.</w:t>
      </w:r>
      <w:r>
        <w:rPr>
          <w:rFonts w:hint="eastAsia"/>
        </w:rPr>
        <w:t>与</w:t>
      </w:r>
      <w:r>
        <w:rPr>
          <w:rFonts w:hint="eastAsia"/>
          <w:lang w:eastAsia="zh-CN"/>
        </w:rPr>
        <w:t>采购人</w:t>
      </w:r>
      <w:r>
        <w:rPr>
          <w:rFonts w:hint="eastAsia"/>
        </w:rPr>
        <w:t>和</w:t>
      </w:r>
      <w:r>
        <w:rPr>
          <w:rFonts w:hint="eastAsia"/>
          <w:lang w:eastAsia="zh-CN"/>
        </w:rPr>
        <w:t>采购平台</w:t>
      </w:r>
      <w:r>
        <w:rPr>
          <w:rFonts w:hint="eastAsia"/>
        </w:rPr>
        <w:t>的接触</w:t>
      </w:r>
    </w:p>
    <w:p w14:paraId="7F7E645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.1除按</w:t>
      </w:r>
      <w:r>
        <w:rPr>
          <w:rFonts w:hint="eastAsia"/>
          <w:lang w:eastAsia="zh-CN"/>
        </w:rPr>
        <w:t>评审委员会</w:t>
      </w:r>
      <w:r>
        <w:rPr>
          <w:rFonts w:hint="eastAsia"/>
        </w:rPr>
        <w:t>要求的澄清外</w:t>
      </w:r>
      <w:r>
        <w:rPr>
          <w:rFonts w:hint="eastAsia"/>
          <w:lang w:eastAsia="zh-CN"/>
        </w:rPr>
        <w:t>，</w:t>
      </w:r>
      <w:r>
        <w:rPr>
          <w:rFonts w:hint="eastAsia"/>
        </w:rPr>
        <w:t>从</w:t>
      </w:r>
      <w:r>
        <w:rPr>
          <w:rFonts w:hint="eastAsia"/>
          <w:lang w:eastAsia="zh-CN"/>
        </w:rPr>
        <w:t>开启</w:t>
      </w:r>
      <w:r>
        <w:rPr>
          <w:rFonts w:hint="eastAsia"/>
        </w:rPr>
        <w:t>到签署合同期间</w:t>
      </w:r>
      <w:r>
        <w:rPr>
          <w:rFonts w:hint="eastAsia"/>
          <w:lang w:eastAsia="zh-CN"/>
        </w:rPr>
        <w:t>，供应商</w:t>
      </w:r>
      <w:r>
        <w:rPr>
          <w:rFonts w:hint="eastAsia"/>
        </w:rPr>
        <w:t>不得就与其</w:t>
      </w:r>
      <w:r>
        <w:rPr>
          <w:rFonts w:hint="eastAsia"/>
          <w:lang w:eastAsia="zh-CN"/>
        </w:rPr>
        <w:t>响应</w:t>
      </w:r>
      <w:r>
        <w:rPr>
          <w:rFonts w:hint="eastAsia"/>
        </w:rPr>
        <w:t>有关的任何事项与</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联系</w:t>
      </w:r>
      <w:r>
        <w:rPr>
          <w:rFonts w:hint="eastAsia"/>
          <w:lang w:eastAsia="zh-CN"/>
        </w:rPr>
        <w:t>。</w:t>
      </w:r>
    </w:p>
    <w:p w14:paraId="155D650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.2</w:t>
      </w:r>
      <w:r>
        <w:rPr>
          <w:rFonts w:hint="eastAsia"/>
          <w:lang w:eastAsia="zh-CN"/>
        </w:rPr>
        <w:t>供应商</w:t>
      </w:r>
      <w:r>
        <w:rPr>
          <w:rFonts w:hint="eastAsia"/>
        </w:rPr>
        <w:t>试图对</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的</w:t>
      </w:r>
      <w:r>
        <w:rPr>
          <w:rFonts w:hint="eastAsia"/>
          <w:lang w:eastAsia="zh-CN"/>
        </w:rPr>
        <w:t>评审</w:t>
      </w:r>
      <w:r>
        <w:rPr>
          <w:rFonts w:hint="eastAsia"/>
        </w:rPr>
        <w:t>、确定</w:t>
      </w:r>
      <w:r>
        <w:rPr>
          <w:rFonts w:hint="eastAsia"/>
          <w:lang w:eastAsia="zh-CN"/>
        </w:rPr>
        <w:t>成交人</w:t>
      </w:r>
      <w:r>
        <w:rPr>
          <w:rFonts w:hint="eastAsia"/>
        </w:rPr>
        <w:t>或签署合同的决定进行影响</w:t>
      </w:r>
      <w:r>
        <w:rPr>
          <w:rFonts w:hint="eastAsia"/>
          <w:lang w:eastAsia="zh-CN"/>
        </w:rPr>
        <w:t>，</w:t>
      </w:r>
      <w:r>
        <w:rPr>
          <w:rFonts w:hint="eastAsia"/>
        </w:rPr>
        <w:t>都可能导致废标</w:t>
      </w:r>
      <w:r>
        <w:rPr>
          <w:rFonts w:hint="eastAsia"/>
          <w:lang w:eastAsia="zh-CN"/>
        </w:rPr>
        <w:t>。</w:t>
      </w:r>
    </w:p>
    <w:p w14:paraId="0C86CE4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lang w:val="en-US" w:eastAsia="zh-CN"/>
        </w:rPr>
        <w:t>18</w:t>
      </w:r>
      <w:r>
        <w:rPr>
          <w:rFonts w:hint="eastAsia"/>
        </w:rPr>
        <w:t>.3 异议</w:t>
      </w:r>
    </w:p>
    <w:p w14:paraId="2654803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.3.1如对</w:t>
      </w:r>
      <w:r>
        <w:rPr>
          <w:rFonts w:hint="eastAsia"/>
          <w:lang w:eastAsia="zh-CN"/>
        </w:rPr>
        <w:t>询比</w:t>
      </w:r>
      <w:r>
        <w:rPr>
          <w:rFonts w:hint="eastAsia"/>
        </w:rPr>
        <w:t>文件内容有异议</w:t>
      </w:r>
      <w:r>
        <w:rPr>
          <w:rFonts w:hint="eastAsia"/>
          <w:lang w:eastAsia="zh-CN"/>
        </w:rPr>
        <w:t>，</w:t>
      </w:r>
      <w:r>
        <w:rPr>
          <w:rFonts w:hint="eastAsia"/>
        </w:rPr>
        <w:t>请在《</w:t>
      </w:r>
      <w:r>
        <w:rPr>
          <w:rFonts w:hint="eastAsia"/>
          <w:lang w:eastAsia="zh-CN"/>
        </w:rPr>
        <w:t>供应商</w:t>
      </w:r>
      <w:r>
        <w:rPr>
          <w:rFonts w:hint="eastAsia"/>
        </w:rPr>
        <w:t>须知》前附表规定的时间前提出</w:t>
      </w:r>
      <w:r>
        <w:rPr>
          <w:rFonts w:hint="eastAsia"/>
          <w:lang w:eastAsia="zh-CN"/>
        </w:rPr>
        <w:t>。采购人</w:t>
      </w:r>
      <w:r>
        <w:rPr>
          <w:rFonts w:hint="eastAsia"/>
        </w:rPr>
        <w:t>及代理机构有权不接受逾期提出的异议</w:t>
      </w:r>
      <w:r>
        <w:rPr>
          <w:rFonts w:hint="eastAsia"/>
          <w:lang w:eastAsia="zh-CN"/>
        </w:rPr>
        <w:t>。</w:t>
      </w:r>
    </w:p>
    <w:p w14:paraId="4C7D5E6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w:t>
      </w:r>
      <w:r>
        <w:rPr>
          <w:rFonts w:hint="eastAsia"/>
        </w:rPr>
        <w:t>.3.2对</w:t>
      </w:r>
      <w:r>
        <w:rPr>
          <w:rFonts w:hint="eastAsia"/>
          <w:lang w:eastAsia="zh-CN"/>
        </w:rPr>
        <w:t>开启</w:t>
      </w:r>
      <w:r>
        <w:rPr>
          <w:rFonts w:hint="eastAsia"/>
        </w:rPr>
        <w:t>环节有异议的</w:t>
      </w:r>
      <w:r>
        <w:rPr>
          <w:rFonts w:hint="eastAsia"/>
          <w:lang w:eastAsia="zh-CN"/>
        </w:rPr>
        <w:t>，供应商</w:t>
      </w:r>
      <w:r>
        <w:rPr>
          <w:rFonts w:hint="eastAsia"/>
        </w:rPr>
        <w:t>须在开</w:t>
      </w:r>
      <w:r>
        <w:rPr>
          <w:rFonts w:hint="eastAsia"/>
          <w:lang w:eastAsia="zh-CN"/>
        </w:rPr>
        <w:t>评审</w:t>
      </w:r>
      <w:r>
        <w:rPr>
          <w:rFonts w:hint="eastAsia"/>
        </w:rPr>
        <w:t>现场提出</w:t>
      </w:r>
      <w:r>
        <w:rPr>
          <w:rFonts w:hint="eastAsia"/>
          <w:lang w:eastAsia="zh-CN"/>
        </w:rPr>
        <w:t>。</w:t>
      </w:r>
      <w:r>
        <w:rPr>
          <w:rFonts w:hint="eastAsia"/>
        </w:rPr>
        <w:t>相关环节结束后</w:t>
      </w:r>
      <w:r>
        <w:rPr>
          <w:rFonts w:hint="eastAsia"/>
          <w:lang w:eastAsia="zh-CN"/>
        </w:rPr>
        <w:t>，</w:t>
      </w:r>
      <w:r>
        <w:rPr>
          <w:rFonts w:hint="eastAsia"/>
          <w:lang w:val="en-US" w:eastAsia="zh-CN"/>
        </w:rPr>
        <w:t>采购人及采购平台将不接收对该环节提出的异议。</w:t>
      </w:r>
    </w:p>
    <w:p w14:paraId="368E7EC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18.3.3各供应商的各项评审内容、分项得分和总分均属于需保密的评审过程内容，采购人和采购平台无义务向各供应商公布。</w:t>
      </w:r>
    </w:p>
    <w:p w14:paraId="79643E8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18.3.4供应商认为成交结果使自己的合法权益受到损害的，可以在公示期内，由供应商授权代表或法定代表人（单位负责人）附身份证明材料，以书面形式向采购人或采购平台在规定的异议期内提出异议，逾期不予受理。</w:t>
      </w:r>
    </w:p>
    <w:p w14:paraId="0E740C8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18.3.5 异议函内容应包括异议的详细理由和依据，并提供有关证明资料。</w:t>
      </w:r>
    </w:p>
    <w:p w14:paraId="21D407A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18.3.6有以下情形之一的，视为无效异议：</w:t>
      </w:r>
    </w:p>
    <w:p w14:paraId="75CF24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（1）未按规定时间或规定方式提交异议的；</w:t>
      </w:r>
    </w:p>
    <w:p w14:paraId="738A49E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（2）异议内容含糊不清、没有提供详细理由和依据，无法进行核查的；</w:t>
      </w:r>
    </w:p>
    <w:p w14:paraId="0848A1A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（3）其他不符合异议程序和有关规定的。</w:t>
      </w:r>
    </w:p>
    <w:p w14:paraId="71237A7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18.3.7异议人有下列情形之一的，属于虚假、恶意异议，采购人和采购平台将驳回异议，将其列入不良行为记录名单，限制或拒绝其参加采购人和采购平台组织的采购活动，并视情况上报采购人采购主管部门或单位（包括采购人内部主管采购的部门、采购人的上级单位或主管采购的其他机构）：</w:t>
      </w:r>
    </w:p>
    <w:p w14:paraId="44F283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（1）一年内三次及以上异议均查无实据的；</w:t>
      </w:r>
    </w:p>
    <w:p w14:paraId="2951209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（2）捏造事实、提供虚假投诉材料或提供以非法手段取得的证明材料异议的；</w:t>
      </w:r>
    </w:p>
    <w:p w14:paraId="52BD0AA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（3）其他经认定属于虚假、恶意投诉的行为。</w:t>
      </w:r>
    </w:p>
    <w:p w14:paraId="4541FE25">
      <w:pPr>
        <w:pStyle w:val="3"/>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58" w:name="_Toc296602455"/>
      <w:bookmarkStart w:id="159" w:name="_Toc179632584"/>
      <w:bookmarkStart w:id="160" w:name="_Toc152042342"/>
      <w:bookmarkStart w:id="161" w:name="_Toc247085724"/>
      <w:bookmarkStart w:id="162" w:name="_Toc246996210"/>
      <w:bookmarkStart w:id="163" w:name="_Toc246996953"/>
      <w:bookmarkStart w:id="164" w:name="_Toc144974534"/>
      <w:bookmarkStart w:id="165" w:name="_Toc152045566"/>
      <w:r>
        <w:rPr>
          <w:rFonts w:hint="eastAsia"/>
          <w:lang w:val="en-US" w:eastAsia="zh-CN"/>
        </w:rPr>
        <w:t>六</w:t>
      </w:r>
      <w:r>
        <w:rPr>
          <w:rFonts w:hint="eastAsia"/>
          <w:lang w:eastAsia="zh-CN"/>
        </w:rPr>
        <w:t>、</w:t>
      </w:r>
      <w:bookmarkEnd w:id="158"/>
      <w:bookmarkEnd w:id="159"/>
      <w:bookmarkEnd w:id="160"/>
      <w:bookmarkEnd w:id="161"/>
      <w:bookmarkEnd w:id="162"/>
      <w:bookmarkEnd w:id="163"/>
      <w:bookmarkEnd w:id="164"/>
      <w:bookmarkEnd w:id="165"/>
      <w:r>
        <w:rPr>
          <w:rFonts w:hint="eastAsia"/>
          <w:lang w:val="en-US" w:eastAsia="zh-CN"/>
        </w:rPr>
        <w:t>成交人确定</w:t>
      </w:r>
    </w:p>
    <w:p w14:paraId="539C7B70">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66" w:name="_Toc246996211"/>
      <w:bookmarkStart w:id="167" w:name="_Toc152042343"/>
      <w:bookmarkStart w:id="168" w:name="_Toc179632585"/>
      <w:bookmarkStart w:id="169" w:name="_Toc144974535"/>
      <w:bookmarkStart w:id="170" w:name="_Toc296602456"/>
      <w:bookmarkStart w:id="171" w:name="_Toc246996954"/>
      <w:bookmarkStart w:id="172" w:name="_Toc152045567"/>
      <w:bookmarkStart w:id="173" w:name="_Toc247085725"/>
      <w:r>
        <w:rPr>
          <w:rFonts w:hint="eastAsia"/>
          <w:lang w:val="en-US" w:eastAsia="zh-CN"/>
        </w:rPr>
        <w:t>19.</w:t>
      </w:r>
      <w:bookmarkEnd w:id="166"/>
      <w:bookmarkEnd w:id="167"/>
      <w:bookmarkEnd w:id="168"/>
      <w:bookmarkEnd w:id="169"/>
      <w:bookmarkEnd w:id="170"/>
      <w:bookmarkEnd w:id="171"/>
      <w:bookmarkEnd w:id="172"/>
      <w:bookmarkEnd w:id="173"/>
      <w:r>
        <w:rPr>
          <w:rFonts w:hint="eastAsia"/>
        </w:rPr>
        <w:t>审查确认</w:t>
      </w:r>
    </w:p>
    <w:p w14:paraId="66511B1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.1</w:t>
      </w:r>
      <w:r>
        <w:rPr>
          <w:rFonts w:hint="eastAsia"/>
          <w:lang w:eastAsia="zh-CN"/>
        </w:rPr>
        <w:t>成交候选人</w:t>
      </w:r>
      <w:r>
        <w:rPr>
          <w:rFonts w:hint="eastAsia"/>
        </w:rPr>
        <w:t>的经营、财务状况发生较大变化或者存在违法行为</w:t>
      </w:r>
      <w:r>
        <w:rPr>
          <w:rFonts w:hint="eastAsia"/>
          <w:lang w:eastAsia="zh-CN"/>
        </w:rPr>
        <w:t>，采购人</w:t>
      </w:r>
      <w:r>
        <w:rPr>
          <w:rFonts w:hint="eastAsia"/>
        </w:rPr>
        <w:t>认为可能影响其履约能力的</w:t>
      </w:r>
      <w:r>
        <w:rPr>
          <w:rFonts w:hint="eastAsia"/>
          <w:lang w:eastAsia="zh-CN"/>
        </w:rPr>
        <w:t>，</w:t>
      </w:r>
      <w:r>
        <w:rPr>
          <w:rFonts w:hint="eastAsia"/>
        </w:rPr>
        <w:t>应当在发出</w:t>
      </w:r>
      <w:r>
        <w:rPr>
          <w:rFonts w:hint="eastAsia"/>
          <w:lang w:eastAsia="zh-CN"/>
        </w:rPr>
        <w:t>成交通知书</w:t>
      </w:r>
      <w:r>
        <w:rPr>
          <w:rFonts w:hint="eastAsia"/>
        </w:rPr>
        <w:t>前由原</w:t>
      </w:r>
      <w:r>
        <w:rPr>
          <w:rFonts w:hint="eastAsia"/>
          <w:lang w:eastAsia="zh-CN"/>
        </w:rPr>
        <w:t>评审委员会</w:t>
      </w:r>
      <w:r>
        <w:rPr>
          <w:rFonts w:hint="eastAsia"/>
        </w:rPr>
        <w:t>按照</w:t>
      </w:r>
      <w:r>
        <w:rPr>
          <w:rFonts w:hint="eastAsia"/>
          <w:lang w:eastAsia="zh-CN"/>
        </w:rPr>
        <w:t>询比</w:t>
      </w:r>
      <w:r>
        <w:rPr>
          <w:rFonts w:hint="eastAsia"/>
        </w:rPr>
        <w:t>文件规定的标准和方法审查确认</w:t>
      </w:r>
      <w:r>
        <w:rPr>
          <w:rFonts w:hint="eastAsia"/>
          <w:lang w:eastAsia="zh-CN"/>
        </w:rPr>
        <w:t>。</w:t>
      </w:r>
    </w:p>
    <w:p w14:paraId="368D25E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.2如审查第一</w:t>
      </w:r>
      <w:r>
        <w:rPr>
          <w:rFonts w:hint="eastAsia"/>
          <w:lang w:eastAsia="zh-CN"/>
        </w:rPr>
        <w:t>成交候选人</w:t>
      </w:r>
      <w:r>
        <w:rPr>
          <w:rFonts w:hint="eastAsia"/>
        </w:rPr>
        <w:t>不符合</w:t>
      </w:r>
      <w:r>
        <w:rPr>
          <w:rFonts w:hint="eastAsia"/>
          <w:lang w:val="en-US" w:eastAsia="zh-CN"/>
        </w:rPr>
        <w:t>成交</w:t>
      </w:r>
      <w:r>
        <w:rPr>
          <w:rFonts w:hint="eastAsia"/>
        </w:rPr>
        <w:t>条件</w:t>
      </w:r>
      <w:r>
        <w:rPr>
          <w:rFonts w:hint="eastAsia"/>
          <w:lang w:eastAsia="zh-CN"/>
        </w:rPr>
        <w:t>，采购人</w:t>
      </w:r>
      <w:r>
        <w:rPr>
          <w:rFonts w:hint="eastAsia"/>
        </w:rPr>
        <w:t>有权取消其</w:t>
      </w:r>
      <w:r>
        <w:rPr>
          <w:rFonts w:hint="eastAsia"/>
          <w:lang w:val="en-US" w:eastAsia="zh-CN"/>
        </w:rPr>
        <w:t>成交</w:t>
      </w:r>
      <w:r>
        <w:rPr>
          <w:rFonts w:hint="eastAsia"/>
        </w:rPr>
        <w:t>资格</w:t>
      </w:r>
      <w:r>
        <w:rPr>
          <w:rFonts w:hint="eastAsia"/>
          <w:lang w:eastAsia="zh-CN"/>
        </w:rPr>
        <w:t>，</w:t>
      </w:r>
      <w:r>
        <w:rPr>
          <w:rFonts w:hint="eastAsia"/>
        </w:rPr>
        <w:t>重新组织</w:t>
      </w:r>
      <w:r>
        <w:rPr>
          <w:rFonts w:hint="eastAsia"/>
          <w:lang w:eastAsia="zh-CN"/>
        </w:rPr>
        <w:t>询比</w:t>
      </w:r>
      <w:r>
        <w:rPr>
          <w:rFonts w:hint="eastAsia"/>
          <w:lang w:val="en-US" w:eastAsia="zh-CN"/>
        </w:rPr>
        <w:t>活动</w:t>
      </w:r>
      <w:r>
        <w:rPr>
          <w:rFonts w:hint="eastAsia"/>
        </w:rPr>
        <w:t>或者委托</w:t>
      </w:r>
      <w:r>
        <w:rPr>
          <w:rFonts w:hint="eastAsia"/>
          <w:lang w:eastAsia="zh-CN"/>
        </w:rPr>
        <w:t>评审委员会</w:t>
      </w:r>
      <w:r>
        <w:rPr>
          <w:rFonts w:hint="eastAsia"/>
        </w:rPr>
        <w:t>按照排名依次审查确认其他</w:t>
      </w:r>
      <w:r>
        <w:rPr>
          <w:rFonts w:hint="eastAsia"/>
          <w:lang w:eastAsia="zh-CN"/>
        </w:rPr>
        <w:t>成交候选人。</w:t>
      </w:r>
    </w:p>
    <w:p w14:paraId="2E0E4A8F">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74" w:name="_Toc296602457"/>
      <w:r>
        <w:rPr>
          <w:rFonts w:hint="eastAsia"/>
          <w:lang w:val="en-US" w:eastAsia="zh-CN"/>
        </w:rPr>
        <w:t>20.</w:t>
      </w:r>
      <w:bookmarkEnd w:id="174"/>
      <w:r>
        <w:rPr>
          <w:rFonts w:hint="eastAsia"/>
        </w:rPr>
        <w:t>确定</w:t>
      </w:r>
      <w:r>
        <w:rPr>
          <w:rFonts w:hint="eastAsia"/>
          <w:lang w:eastAsia="zh-CN"/>
        </w:rPr>
        <w:t>成交人</w:t>
      </w:r>
      <w:r>
        <w:rPr>
          <w:rFonts w:hint="eastAsia"/>
        </w:rPr>
        <w:t>的标准</w:t>
      </w:r>
    </w:p>
    <w:p w14:paraId="1847BE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评审委员会</w:t>
      </w:r>
      <w:r>
        <w:rPr>
          <w:rFonts w:hint="eastAsia"/>
        </w:rPr>
        <w:t>将根据</w:t>
      </w:r>
      <w:r>
        <w:rPr>
          <w:rFonts w:hint="eastAsia"/>
          <w:lang w:eastAsia="zh-CN"/>
        </w:rPr>
        <w:t>询比</w:t>
      </w:r>
      <w:r>
        <w:rPr>
          <w:rFonts w:hint="eastAsia"/>
        </w:rPr>
        <w:t>文件确定的评分办法及评审标准对所有</w:t>
      </w:r>
      <w:r>
        <w:rPr>
          <w:rFonts w:hint="eastAsia"/>
          <w:lang w:eastAsia="zh-CN"/>
        </w:rPr>
        <w:t>响应文件</w:t>
      </w:r>
      <w:r>
        <w:rPr>
          <w:rFonts w:hint="eastAsia"/>
        </w:rPr>
        <w:t>进行相同程序的评审和比较</w:t>
      </w:r>
      <w:r>
        <w:rPr>
          <w:rFonts w:hint="eastAsia"/>
          <w:lang w:eastAsia="zh-CN"/>
        </w:rPr>
        <w:t>，</w:t>
      </w:r>
      <w:r>
        <w:rPr>
          <w:rFonts w:hint="eastAsia"/>
        </w:rPr>
        <w:t>并根据评审结果推荐1~3名</w:t>
      </w:r>
      <w:r>
        <w:rPr>
          <w:rFonts w:hint="eastAsia"/>
          <w:lang w:eastAsia="zh-CN"/>
        </w:rPr>
        <w:t>成交候选人，</w:t>
      </w:r>
      <w:r>
        <w:rPr>
          <w:rFonts w:hint="eastAsia"/>
        </w:rPr>
        <w:t>且标明排序</w:t>
      </w:r>
      <w:r>
        <w:rPr>
          <w:rFonts w:hint="eastAsia"/>
          <w:lang w:eastAsia="zh-CN"/>
        </w:rPr>
        <w:t>。</w:t>
      </w:r>
    </w:p>
    <w:p w14:paraId="55F77537">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75" w:name="_Toc152042344"/>
      <w:bookmarkStart w:id="176" w:name="_Toc296602458"/>
      <w:bookmarkStart w:id="177" w:name="_Toc144974536"/>
      <w:bookmarkStart w:id="178" w:name="_Toc247085726"/>
      <w:bookmarkStart w:id="179" w:name="_Toc152045568"/>
      <w:bookmarkStart w:id="180" w:name="_Toc246996212"/>
      <w:bookmarkStart w:id="181" w:name="_Toc179632586"/>
      <w:bookmarkStart w:id="182" w:name="_Toc246996955"/>
      <w:r>
        <w:rPr>
          <w:rFonts w:hint="eastAsia"/>
          <w:lang w:val="en-US" w:eastAsia="zh-CN"/>
        </w:rPr>
        <w:t>21.</w:t>
      </w:r>
      <w:bookmarkEnd w:id="175"/>
      <w:bookmarkEnd w:id="176"/>
      <w:bookmarkEnd w:id="177"/>
      <w:bookmarkEnd w:id="178"/>
      <w:bookmarkEnd w:id="179"/>
      <w:bookmarkEnd w:id="180"/>
      <w:bookmarkEnd w:id="181"/>
      <w:bookmarkEnd w:id="182"/>
      <w:r>
        <w:rPr>
          <w:rFonts w:hint="eastAsia"/>
          <w:lang w:val="en-US" w:eastAsia="zh-CN"/>
        </w:rPr>
        <w:t>采购人的权利</w:t>
      </w:r>
    </w:p>
    <w:p w14:paraId="632143F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采购人</w:t>
      </w:r>
      <w:r>
        <w:rPr>
          <w:rFonts w:hint="eastAsia"/>
        </w:rPr>
        <w:t>在中标通知发出之前的任何时候</w:t>
      </w:r>
      <w:r>
        <w:rPr>
          <w:rFonts w:hint="eastAsia"/>
          <w:lang w:eastAsia="zh-CN"/>
        </w:rPr>
        <w:t>，</w:t>
      </w:r>
      <w:r>
        <w:rPr>
          <w:rFonts w:hint="eastAsia"/>
        </w:rPr>
        <w:t>有取消本次</w:t>
      </w:r>
      <w:r>
        <w:rPr>
          <w:rFonts w:hint="eastAsia"/>
          <w:lang w:eastAsia="zh-CN"/>
        </w:rPr>
        <w:t>询比</w:t>
      </w:r>
      <w:r>
        <w:rPr>
          <w:rFonts w:hint="eastAsia"/>
        </w:rPr>
        <w:t>或宣布</w:t>
      </w:r>
      <w:r>
        <w:rPr>
          <w:rFonts w:hint="eastAsia"/>
          <w:lang w:eastAsia="zh-CN"/>
        </w:rPr>
        <w:t>响应</w:t>
      </w:r>
      <w:r>
        <w:rPr>
          <w:rFonts w:hint="eastAsia"/>
        </w:rPr>
        <w:t>无效或</w:t>
      </w:r>
      <w:r>
        <w:rPr>
          <w:rFonts w:hint="eastAsia"/>
          <w:lang w:val="en-US" w:eastAsia="zh-CN"/>
        </w:rPr>
        <w:t>拒</w:t>
      </w:r>
      <w:r>
        <w:rPr>
          <w:rFonts w:hint="eastAsia"/>
        </w:rPr>
        <w:t>绝所有</w:t>
      </w:r>
      <w:r>
        <w:rPr>
          <w:rFonts w:hint="eastAsia"/>
          <w:lang w:eastAsia="zh-CN"/>
        </w:rPr>
        <w:t>响应</w:t>
      </w:r>
      <w:r>
        <w:rPr>
          <w:rFonts w:hint="eastAsia"/>
        </w:rPr>
        <w:t>的权利</w:t>
      </w:r>
      <w:r>
        <w:rPr>
          <w:rFonts w:hint="eastAsia"/>
          <w:lang w:eastAsia="zh-CN"/>
        </w:rPr>
        <w:t>，</w:t>
      </w:r>
      <w:r>
        <w:rPr>
          <w:rFonts w:hint="eastAsia"/>
        </w:rPr>
        <w:t>对因此而受影响的</w:t>
      </w:r>
      <w:r>
        <w:rPr>
          <w:rFonts w:hint="eastAsia"/>
          <w:lang w:eastAsia="zh-CN"/>
        </w:rPr>
        <w:t>供应商</w:t>
      </w:r>
      <w:r>
        <w:rPr>
          <w:rFonts w:hint="eastAsia"/>
        </w:rPr>
        <w:t>不承担任何责任，也没有义务向受</w:t>
      </w:r>
      <w:r>
        <w:rPr>
          <w:rFonts w:hint="eastAsia"/>
          <w:lang w:val="en-US" w:eastAsia="zh-CN"/>
        </w:rPr>
        <w:t>影</w:t>
      </w:r>
      <w:r>
        <w:rPr>
          <w:rFonts w:hint="eastAsia"/>
        </w:rPr>
        <w:t>响的</w:t>
      </w:r>
      <w:r>
        <w:rPr>
          <w:rFonts w:hint="eastAsia"/>
          <w:lang w:eastAsia="zh-CN"/>
        </w:rPr>
        <w:t>供应商</w:t>
      </w:r>
      <w:r>
        <w:rPr>
          <w:rFonts w:hint="eastAsia"/>
        </w:rPr>
        <w:t>解释采取这一行动的理由并不承担任何赔偿费用</w:t>
      </w:r>
      <w:r>
        <w:rPr>
          <w:rFonts w:hint="eastAsia"/>
          <w:lang w:eastAsia="zh-CN"/>
        </w:rPr>
        <w:t>。</w:t>
      </w:r>
    </w:p>
    <w:p w14:paraId="2DCA9604">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83" w:name="_Toc296602459"/>
      <w:bookmarkStart w:id="184" w:name="_Toc247085727"/>
      <w:bookmarkStart w:id="185" w:name="_Toc152042345"/>
      <w:bookmarkStart w:id="186" w:name="_Toc144974537"/>
      <w:bookmarkStart w:id="187" w:name="_Toc246996213"/>
      <w:bookmarkStart w:id="188" w:name="_Toc179632587"/>
      <w:bookmarkStart w:id="189" w:name="_Toc152045569"/>
      <w:bookmarkStart w:id="190" w:name="_Toc246996956"/>
      <w:r>
        <w:rPr>
          <w:rFonts w:hint="eastAsia"/>
          <w:lang w:val="en-US" w:eastAsia="zh-CN"/>
        </w:rPr>
        <w:t>22.</w:t>
      </w:r>
      <w:bookmarkEnd w:id="183"/>
      <w:bookmarkEnd w:id="184"/>
      <w:bookmarkEnd w:id="185"/>
      <w:bookmarkEnd w:id="186"/>
      <w:bookmarkEnd w:id="187"/>
      <w:bookmarkEnd w:id="188"/>
      <w:bookmarkEnd w:id="189"/>
      <w:bookmarkEnd w:id="190"/>
      <w:r>
        <w:rPr>
          <w:rFonts w:hint="eastAsia"/>
          <w:lang w:val="en-US" w:eastAsia="zh-CN"/>
        </w:rPr>
        <w:t>成交通知书</w:t>
      </w:r>
    </w:p>
    <w:p w14:paraId="47C371C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在</w:t>
      </w:r>
      <w:r>
        <w:rPr>
          <w:rFonts w:hint="eastAsia"/>
          <w:lang w:eastAsia="zh-CN"/>
        </w:rPr>
        <w:t>响应</w:t>
      </w:r>
      <w:r>
        <w:rPr>
          <w:rFonts w:hint="eastAsia"/>
        </w:rPr>
        <w:t>有效期满之前</w:t>
      </w:r>
      <w:r>
        <w:rPr>
          <w:rFonts w:hint="eastAsia"/>
          <w:lang w:eastAsia="zh-CN"/>
        </w:rPr>
        <w:t>，采购人</w:t>
      </w:r>
      <w:r>
        <w:rPr>
          <w:rFonts w:hint="eastAsia"/>
        </w:rPr>
        <w:t>向</w:t>
      </w:r>
      <w:r>
        <w:rPr>
          <w:rFonts w:hint="eastAsia"/>
          <w:lang w:eastAsia="zh-CN"/>
        </w:rPr>
        <w:t>成交人</w:t>
      </w:r>
      <w:r>
        <w:rPr>
          <w:rFonts w:hint="eastAsia"/>
        </w:rPr>
        <w:t>发出</w:t>
      </w:r>
      <w:r>
        <w:rPr>
          <w:rFonts w:hint="eastAsia"/>
          <w:lang w:eastAsia="zh-CN"/>
        </w:rPr>
        <w:t>成交通知书。成交通知书</w:t>
      </w:r>
      <w:r>
        <w:rPr>
          <w:rFonts w:hint="eastAsia"/>
        </w:rPr>
        <w:t>将构成合同的一部分</w:t>
      </w:r>
      <w:r>
        <w:rPr>
          <w:rFonts w:hint="eastAsia"/>
          <w:lang w:eastAsia="zh-CN"/>
        </w:rPr>
        <w:t>。</w:t>
      </w:r>
    </w:p>
    <w:p w14:paraId="0811FB9E">
      <w:pPr>
        <w:pStyle w:val="3"/>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91" w:name="_Toc296602461"/>
      <w:r>
        <w:rPr>
          <w:rFonts w:hint="eastAsia"/>
          <w:lang w:val="en-US" w:eastAsia="zh-CN"/>
        </w:rPr>
        <w:t>七、</w:t>
      </w:r>
      <w:bookmarkEnd w:id="191"/>
      <w:r>
        <w:rPr>
          <w:rFonts w:hint="eastAsia"/>
          <w:lang w:val="en-US" w:eastAsia="zh-CN"/>
        </w:rPr>
        <w:t>合同的签署</w:t>
      </w:r>
    </w:p>
    <w:p w14:paraId="0EEEBE75">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92" w:name="_Toc246996962"/>
      <w:bookmarkStart w:id="193" w:name="_Toc246996219"/>
      <w:bookmarkStart w:id="194" w:name="_Toc296602462"/>
      <w:bookmarkStart w:id="195" w:name="_Toc179632593"/>
      <w:bookmarkStart w:id="196" w:name="_Toc247085733"/>
      <w:bookmarkStart w:id="197" w:name="_Toc152042351"/>
      <w:bookmarkStart w:id="198" w:name="_Toc296590983"/>
      <w:bookmarkStart w:id="199" w:name="_Toc144974543"/>
      <w:bookmarkStart w:id="200" w:name="_Toc152045575"/>
      <w:r>
        <w:rPr>
          <w:rFonts w:hint="eastAsia"/>
          <w:lang w:val="en-US" w:eastAsia="zh-CN"/>
        </w:rPr>
        <w:t>23.</w:t>
      </w:r>
      <w:bookmarkEnd w:id="192"/>
      <w:bookmarkEnd w:id="193"/>
      <w:bookmarkEnd w:id="194"/>
      <w:bookmarkEnd w:id="195"/>
      <w:bookmarkEnd w:id="196"/>
      <w:bookmarkEnd w:id="197"/>
      <w:bookmarkEnd w:id="198"/>
      <w:bookmarkEnd w:id="199"/>
      <w:bookmarkEnd w:id="200"/>
      <w:r>
        <w:rPr>
          <w:rFonts w:hint="eastAsia"/>
          <w:lang w:val="en-US" w:eastAsia="zh-CN"/>
        </w:rPr>
        <w:t>合同的签署</w:t>
      </w:r>
    </w:p>
    <w:p w14:paraId="3399383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.1</w:t>
      </w:r>
      <w:r>
        <w:rPr>
          <w:rFonts w:hint="eastAsia"/>
          <w:lang w:eastAsia="zh-CN"/>
        </w:rPr>
        <w:t>成交人</w:t>
      </w:r>
      <w:r>
        <w:rPr>
          <w:rFonts w:hint="eastAsia"/>
        </w:rPr>
        <w:t>应按法律法规及</w:t>
      </w:r>
      <w:r>
        <w:rPr>
          <w:rFonts w:hint="eastAsia"/>
          <w:lang w:eastAsia="zh-CN"/>
        </w:rPr>
        <w:t>询比</w:t>
      </w:r>
      <w:r>
        <w:rPr>
          <w:rFonts w:hint="eastAsia"/>
        </w:rPr>
        <w:t>文件规定的时间与</w:t>
      </w:r>
      <w:r>
        <w:rPr>
          <w:rFonts w:hint="eastAsia"/>
          <w:lang w:eastAsia="zh-CN"/>
        </w:rPr>
        <w:t>采购人</w:t>
      </w:r>
      <w:r>
        <w:rPr>
          <w:rFonts w:hint="eastAsia"/>
        </w:rPr>
        <w:t>签订合同</w:t>
      </w:r>
      <w:r>
        <w:rPr>
          <w:rFonts w:hint="eastAsia"/>
          <w:lang w:eastAsia="zh-CN"/>
        </w:rPr>
        <w:t>。</w:t>
      </w:r>
    </w:p>
    <w:p w14:paraId="0F0D065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.2采购双方必须严格按照</w:t>
      </w:r>
      <w:r>
        <w:rPr>
          <w:rFonts w:hint="eastAsia"/>
          <w:lang w:eastAsia="zh-CN"/>
        </w:rPr>
        <w:t>询比</w:t>
      </w:r>
      <w:r>
        <w:rPr>
          <w:rFonts w:hint="eastAsia"/>
        </w:rPr>
        <w:t>文件、</w:t>
      </w:r>
      <w:r>
        <w:rPr>
          <w:rFonts w:hint="eastAsia"/>
          <w:lang w:eastAsia="zh-CN"/>
        </w:rPr>
        <w:t>响应文件</w:t>
      </w:r>
      <w:r>
        <w:rPr>
          <w:rFonts w:hint="eastAsia"/>
        </w:rPr>
        <w:t>及有关承诺签订采购合同</w:t>
      </w:r>
      <w:r>
        <w:rPr>
          <w:rFonts w:hint="eastAsia"/>
          <w:lang w:eastAsia="zh-CN"/>
        </w:rPr>
        <w:t>，</w:t>
      </w:r>
      <w:r>
        <w:rPr>
          <w:rFonts w:hint="eastAsia"/>
        </w:rPr>
        <w:t>不得擅自变更</w:t>
      </w:r>
      <w:r>
        <w:rPr>
          <w:rFonts w:hint="eastAsia"/>
          <w:lang w:eastAsia="zh-CN"/>
        </w:rPr>
        <w:t>。</w:t>
      </w:r>
      <w:r>
        <w:rPr>
          <w:rFonts w:hint="eastAsia"/>
        </w:rPr>
        <w:t>合同的标的、价款、质量、履行期限等主要条款应当与</w:t>
      </w:r>
      <w:r>
        <w:rPr>
          <w:rFonts w:hint="eastAsia"/>
          <w:lang w:eastAsia="zh-CN"/>
        </w:rPr>
        <w:t>询比</w:t>
      </w:r>
      <w:r>
        <w:rPr>
          <w:rFonts w:hint="eastAsia"/>
        </w:rPr>
        <w:t>文件和</w:t>
      </w:r>
      <w:r>
        <w:rPr>
          <w:rFonts w:hint="eastAsia"/>
          <w:lang w:eastAsia="zh-CN"/>
        </w:rPr>
        <w:t>成交人</w:t>
      </w:r>
      <w:r>
        <w:rPr>
          <w:rFonts w:hint="eastAsia"/>
        </w:rPr>
        <w:t>的</w:t>
      </w:r>
      <w:r>
        <w:rPr>
          <w:rFonts w:hint="eastAsia"/>
          <w:lang w:eastAsia="zh-CN"/>
        </w:rPr>
        <w:t>响应文件</w:t>
      </w:r>
      <w:r>
        <w:rPr>
          <w:rFonts w:hint="eastAsia"/>
        </w:rPr>
        <w:t>的内容一致</w:t>
      </w:r>
      <w:r>
        <w:rPr>
          <w:rFonts w:hint="eastAsia"/>
          <w:lang w:eastAsia="zh-CN"/>
        </w:rPr>
        <w:t>，采购人</w:t>
      </w:r>
      <w:r>
        <w:rPr>
          <w:rFonts w:hint="eastAsia"/>
        </w:rPr>
        <w:t>和</w:t>
      </w:r>
      <w:r>
        <w:rPr>
          <w:rFonts w:hint="eastAsia"/>
          <w:lang w:eastAsia="zh-CN"/>
        </w:rPr>
        <w:t>成交人</w:t>
      </w:r>
      <w:r>
        <w:rPr>
          <w:rFonts w:hint="eastAsia"/>
        </w:rPr>
        <w:t>不得再行订立背离合同实质性内容的</w:t>
      </w:r>
      <w:r>
        <w:rPr>
          <w:rFonts w:hint="eastAsia"/>
          <w:lang w:eastAsia="zh-CN"/>
        </w:rPr>
        <w:t>其他</w:t>
      </w:r>
      <w:r>
        <w:rPr>
          <w:rFonts w:hint="eastAsia"/>
        </w:rPr>
        <w:t>协议</w:t>
      </w:r>
      <w:r>
        <w:rPr>
          <w:rFonts w:hint="eastAsia"/>
          <w:lang w:eastAsia="zh-CN"/>
        </w:rPr>
        <w:t>。</w:t>
      </w:r>
      <w:r>
        <w:rPr>
          <w:rFonts w:hint="eastAsia"/>
        </w:rPr>
        <w:t>对任何因双方擅自变更合同实质性内容引起的问题，由双方通过其他</w:t>
      </w:r>
      <w:r>
        <w:rPr>
          <w:rFonts w:hint="eastAsia"/>
          <w:lang w:eastAsia="zh-CN"/>
        </w:rPr>
        <w:t>法律</w:t>
      </w:r>
      <w:r>
        <w:rPr>
          <w:rFonts w:hint="eastAsia"/>
        </w:rPr>
        <w:t>途径解决</w:t>
      </w:r>
      <w:r>
        <w:rPr>
          <w:rFonts w:hint="eastAsia"/>
          <w:lang w:eastAsia="zh-CN"/>
        </w:rPr>
        <w:t>，采购平台</w:t>
      </w:r>
      <w:r>
        <w:rPr>
          <w:rFonts w:hint="eastAsia"/>
        </w:rPr>
        <w:t>对此不承担责任，合同风险由双方自行承担</w:t>
      </w:r>
      <w:r>
        <w:rPr>
          <w:rFonts w:hint="eastAsia"/>
          <w:lang w:eastAsia="zh-CN"/>
        </w:rPr>
        <w:t>。</w:t>
      </w:r>
    </w:p>
    <w:p w14:paraId="70794AD4">
      <w:pPr>
        <w:pStyle w:val="3"/>
        <w:bidi w:val="0"/>
        <w:rPr>
          <w:rFonts w:hint="eastAsia" w:eastAsia="黑体"/>
          <w:lang w:eastAsia="zh-CN"/>
        </w:rPr>
      </w:pPr>
      <w:bookmarkStart w:id="201" w:name="_Toc246996963"/>
      <w:bookmarkStart w:id="202" w:name="_Toc152045576"/>
      <w:bookmarkStart w:id="203" w:name="_Toc179632594"/>
      <w:bookmarkStart w:id="204" w:name="_Toc296602463"/>
      <w:bookmarkStart w:id="205" w:name="_Toc144974544"/>
      <w:bookmarkStart w:id="206" w:name="_Toc152042352"/>
      <w:bookmarkStart w:id="207" w:name="_Toc246996220"/>
      <w:bookmarkStart w:id="208" w:name="_Toc247085734"/>
      <w:r>
        <w:rPr>
          <w:rFonts w:hint="eastAsia"/>
          <w:lang w:val="en-US" w:eastAsia="zh-CN"/>
        </w:rPr>
        <w:t>24.</w:t>
      </w:r>
      <w:bookmarkEnd w:id="201"/>
      <w:bookmarkEnd w:id="202"/>
      <w:bookmarkEnd w:id="203"/>
      <w:bookmarkEnd w:id="204"/>
      <w:bookmarkEnd w:id="205"/>
      <w:bookmarkEnd w:id="206"/>
      <w:bookmarkEnd w:id="207"/>
      <w:bookmarkEnd w:id="208"/>
      <w:r>
        <w:rPr>
          <w:rFonts w:hint="eastAsia"/>
          <w:lang w:val="en-US" w:eastAsia="zh-CN"/>
        </w:rPr>
        <w:t>履约担保</w:t>
      </w:r>
    </w:p>
    <w:p w14:paraId="63B5384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.1</w:t>
      </w:r>
      <w:r>
        <w:rPr>
          <w:rFonts w:hint="eastAsia"/>
          <w:lang w:eastAsia="zh-CN"/>
        </w:rPr>
        <w:t>成交人</w:t>
      </w:r>
      <w:r>
        <w:rPr>
          <w:rFonts w:hint="eastAsia"/>
        </w:rPr>
        <w:t>须按照</w:t>
      </w:r>
      <w:r>
        <w:rPr>
          <w:rFonts w:hint="eastAsia"/>
          <w:lang w:eastAsia="zh-CN"/>
        </w:rPr>
        <w:t>供应商</w:t>
      </w:r>
      <w:r>
        <w:rPr>
          <w:rFonts w:hint="eastAsia"/>
        </w:rPr>
        <w:t>须知前附表中的规定提交履约担保</w:t>
      </w:r>
      <w:r>
        <w:rPr>
          <w:rFonts w:hint="eastAsia"/>
          <w:lang w:eastAsia="zh-CN"/>
        </w:rPr>
        <w:t>。</w:t>
      </w:r>
    </w:p>
    <w:p w14:paraId="748A1AAA">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.2</w:t>
      </w:r>
      <w:r>
        <w:rPr>
          <w:rFonts w:hint="eastAsia"/>
          <w:lang w:eastAsia="zh-CN"/>
        </w:rPr>
        <w:t>采购人</w:t>
      </w:r>
      <w:r>
        <w:rPr>
          <w:rFonts w:hint="eastAsia"/>
        </w:rPr>
        <w:t>与</w:t>
      </w:r>
      <w:r>
        <w:rPr>
          <w:rFonts w:hint="eastAsia"/>
          <w:lang w:eastAsia="zh-CN"/>
        </w:rPr>
        <w:t>成交人</w:t>
      </w:r>
      <w:r>
        <w:rPr>
          <w:rFonts w:hint="eastAsia"/>
        </w:rPr>
        <w:t>签订书面合同后</w:t>
      </w:r>
      <w:r>
        <w:rPr>
          <w:rFonts w:hint="eastAsia"/>
          <w:lang w:eastAsia="zh-CN"/>
        </w:rPr>
        <w:t>，采购平台</w:t>
      </w:r>
      <w:r>
        <w:rPr>
          <w:rFonts w:hint="eastAsia"/>
        </w:rPr>
        <w:t>将通知所有未中标的</w:t>
      </w:r>
      <w:r>
        <w:rPr>
          <w:rFonts w:hint="eastAsia"/>
          <w:lang w:val="en-US" w:eastAsia="zh-CN"/>
        </w:rPr>
        <w:t>供应商</w:t>
      </w:r>
      <w:r>
        <w:rPr>
          <w:rFonts w:hint="eastAsia"/>
        </w:rPr>
        <w:t>，并退还其</w:t>
      </w:r>
      <w:r>
        <w:rPr>
          <w:rFonts w:hint="eastAsia"/>
          <w:lang w:eastAsia="zh-CN"/>
        </w:rPr>
        <w:t>响应担保。</w:t>
      </w:r>
    </w:p>
    <w:p w14:paraId="2C19282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.3如果</w:t>
      </w:r>
      <w:r>
        <w:rPr>
          <w:rFonts w:hint="eastAsia"/>
          <w:lang w:eastAsia="zh-CN"/>
        </w:rPr>
        <w:t>成交人</w:t>
      </w:r>
      <w:r>
        <w:rPr>
          <w:rFonts w:hint="eastAsia"/>
        </w:rPr>
        <w:t>没有遵守本章 2</w:t>
      </w:r>
      <w:r>
        <w:rPr>
          <w:rFonts w:hint="eastAsia"/>
          <w:lang w:val="en-US" w:eastAsia="zh-CN"/>
        </w:rPr>
        <w:t>3</w:t>
      </w:r>
      <w:r>
        <w:rPr>
          <w:rFonts w:hint="eastAsia"/>
        </w:rPr>
        <w:t>.1、2</w:t>
      </w:r>
      <w:r>
        <w:rPr>
          <w:rFonts w:hint="eastAsia"/>
          <w:lang w:val="en-US" w:eastAsia="zh-CN"/>
        </w:rPr>
        <w:t>4</w:t>
      </w:r>
      <w:r>
        <w:rPr>
          <w:rFonts w:hint="eastAsia"/>
        </w:rPr>
        <w:t>.1的规定</w:t>
      </w:r>
      <w:r>
        <w:rPr>
          <w:rFonts w:hint="eastAsia"/>
          <w:lang w:eastAsia="zh-CN"/>
        </w:rPr>
        <w:t>，</w:t>
      </w:r>
      <w:r>
        <w:rPr>
          <w:rFonts w:hint="eastAsia"/>
        </w:rPr>
        <w:t>或出现</w:t>
      </w:r>
      <w:r>
        <w:rPr>
          <w:rFonts w:hint="eastAsia"/>
          <w:lang w:val="en-US" w:eastAsia="zh-CN"/>
        </w:rPr>
        <w:t>法律法规规定的</w:t>
      </w:r>
      <w:r>
        <w:rPr>
          <w:rFonts w:hint="eastAsia"/>
        </w:rPr>
        <w:t>其他不符合</w:t>
      </w:r>
      <w:r>
        <w:rPr>
          <w:rFonts w:hint="eastAsia"/>
          <w:lang w:val="en-US" w:eastAsia="zh-CN"/>
        </w:rPr>
        <w:t>成交</w:t>
      </w:r>
      <w:r>
        <w:rPr>
          <w:rFonts w:hint="eastAsia"/>
        </w:rPr>
        <w:t>条件的情形的</w:t>
      </w:r>
      <w:r>
        <w:rPr>
          <w:rFonts w:hint="eastAsia"/>
          <w:lang w:eastAsia="zh-CN"/>
        </w:rPr>
        <w:t>，采购人</w:t>
      </w:r>
      <w:r>
        <w:rPr>
          <w:rFonts w:hint="eastAsia"/>
        </w:rPr>
        <w:t>有权取消其</w:t>
      </w:r>
      <w:r>
        <w:rPr>
          <w:rFonts w:hint="eastAsia"/>
          <w:lang w:val="en-US" w:eastAsia="zh-CN"/>
        </w:rPr>
        <w:t>成交</w:t>
      </w:r>
      <w:r>
        <w:rPr>
          <w:rFonts w:hint="eastAsia"/>
        </w:rPr>
        <w:t>资格、不予</w:t>
      </w:r>
      <w:r>
        <w:rPr>
          <w:rFonts w:hint="eastAsia"/>
          <w:lang w:val="en-US" w:eastAsia="zh-CN"/>
        </w:rPr>
        <w:t>退</w:t>
      </w:r>
      <w:r>
        <w:rPr>
          <w:rFonts w:hint="eastAsia"/>
        </w:rPr>
        <w:t>还其提交的</w:t>
      </w:r>
      <w:r>
        <w:rPr>
          <w:rFonts w:hint="eastAsia"/>
          <w:lang w:eastAsia="zh-CN"/>
        </w:rPr>
        <w:t>响应担保。</w:t>
      </w:r>
      <w:r>
        <w:rPr>
          <w:rFonts w:hint="eastAsia"/>
        </w:rPr>
        <w:t>在此情况下</w:t>
      </w:r>
      <w:r>
        <w:rPr>
          <w:rFonts w:hint="eastAsia"/>
          <w:lang w:eastAsia="zh-CN"/>
        </w:rPr>
        <w:t>，采购人</w:t>
      </w:r>
      <w:r>
        <w:rPr>
          <w:rFonts w:hint="eastAsia"/>
        </w:rPr>
        <w:t>可以确定下一个综合排名最高的</w:t>
      </w:r>
      <w:r>
        <w:rPr>
          <w:rFonts w:hint="eastAsia"/>
          <w:lang w:eastAsia="zh-CN"/>
        </w:rPr>
        <w:t>供应商</w:t>
      </w:r>
      <w:r>
        <w:rPr>
          <w:rFonts w:hint="eastAsia"/>
        </w:rPr>
        <w:t>为</w:t>
      </w:r>
      <w:r>
        <w:rPr>
          <w:rFonts w:hint="eastAsia"/>
          <w:lang w:eastAsia="zh-CN"/>
        </w:rPr>
        <w:t>成交人</w:t>
      </w:r>
      <w:r>
        <w:rPr>
          <w:rFonts w:hint="eastAsia"/>
        </w:rPr>
        <w:t>并授予其合同</w:t>
      </w:r>
      <w:r>
        <w:rPr>
          <w:rFonts w:hint="eastAsia"/>
          <w:lang w:eastAsia="zh-CN"/>
        </w:rPr>
        <w:t>，</w:t>
      </w:r>
      <w:r>
        <w:rPr>
          <w:rFonts w:hint="eastAsia"/>
        </w:rPr>
        <w:t>或重新</w:t>
      </w:r>
      <w:r>
        <w:rPr>
          <w:rFonts w:hint="eastAsia"/>
          <w:lang w:val="en-US" w:eastAsia="zh-CN"/>
        </w:rPr>
        <w:t>采购</w:t>
      </w:r>
      <w:r>
        <w:rPr>
          <w:rFonts w:hint="eastAsia"/>
          <w:lang w:eastAsia="zh-CN"/>
        </w:rPr>
        <w:t>。</w:t>
      </w:r>
    </w:p>
    <w:p w14:paraId="2A165E4C">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bookmarkStart w:id="209" w:name="_Toc144974545"/>
      <w:bookmarkStart w:id="210" w:name="_Toc246996964"/>
      <w:bookmarkStart w:id="211" w:name="_Toc152045577"/>
      <w:bookmarkStart w:id="212" w:name="_Toc152042353"/>
      <w:bookmarkStart w:id="213" w:name="_Toc246996221"/>
      <w:bookmarkStart w:id="214" w:name="_Toc179632595"/>
      <w:bookmarkStart w:id="215" w:name="_Toc296602464"/>
      <w:bookmarkStart w:id="216" w:name="_Toc247085735"/>
      <w:r>
        <w:rPr>
          <w:rFonts w:hint="eastAsia"/>
          <w:lang w:val="en-US" w:eastAsia="zh-CN"/>
        </w:rPr>
        <w:t>25.</w:t>
      </w:r>
      <w:bookmarkEnd w:id="209"/>
      <w:bookmarkEnd w:id="210"/>
      <w:bookmarkEnd w:id="211"/>
      <w:bookmarkEnd w:id="212"/>
      <w:bookmarkEnd w:id="213"/>
      <w:bookmarkEnd w:id="214"/>
      <w:bookmarkEnd w:id="215"/>
      <w:bookmarkEnd w:id="216"/>
      <w:r>
        <w:rPr>
          <w:rFonts w:hint="eastAsia"/>
          <w:lang w:val="en-US" w:eastAsia="zh-CN"/>
        </w:rPr>
        <w:t>解释权</w:t>
      </w:r>
    </w:p>
    <w:p w14:paraId="258AD86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本</w:t>
      </w:r>
      <w:r>
        <w:rPr>
          <w:rFonts w:hint="eastAsia"/>
          <w:lang w:eastAsia="zh-CN"/>
        </w:rPr>
        <w:t>询比</w:t>
      </w:r>
      <w:r>
        <w:rPr>
          <w:rFonts w:hint="eastAsia"/>
        </w:rPr>
        <w:t>文件的最终解释权归</w:t>
      </w:r>
      <w:r>
        <w:rPr>
          <w:rFonts w:hint="eastAsia"/>
          <w:lang w:eastAsia="zh-CN"/>
        </w:rPr>
        <w:t>采购人</w:t>
      </w:r>
      <w:r>
        <w:rPr>
          <w:rFonts w:hint="eastAsia"/>
        </w:rPr>
        <w:t>所有</w:t>
      </w:r>
      <w:r>
        <w:rPr>
          <w:rFonts w:hint="eastAsia"/>
          <w:lang w:eastAsia="zh-CN"/>
        </w:rPr>
        <w:t>。</w:t>
      </w:r>
    </w:p>
    <w:p w14:paraId="42B6174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316DC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第三章 </w:t>
      </w:r>
      <w:r>
        <w:rPr>
          <w:rFonts w:hint="eastAsia" w:asciiTheme="majorEastAsia" w:hAnsiTheme="majorEastAsia" w:eastAsiaTheme="majorEastAsia" w:cstheme="majorEastAsia"/>
          <w:b/>
          <w:bCs/>
          <w:sz w:val="32"/>
          <w:szCs w:val="32"/>
          <w:highlight w:val="none"/>
          <w:lang w:val="en-US" w:eastAsia="zh-CN"/>
        </w:rPr>
        <w:t>评审</w:t>
      </w:r>
      <w:r>
        <w:rPr>
          <w:rFonts w:hint="default" w:asciiTheme="majorEastAsia" w:hAnsiTheme="majorEastAsia" w:eastAsiaTheme="majorEastAsia" w:cstheme="majorEastAsia"/>
          <w:b/>
          <w:bCs/>
          <w:sz w:val="32"/>
          <w:szCs w:val="32"/>
          <w:highlight w:val="none"/>
          <w:lang w:val="en-US" w:eastAsia="zh-CN"/>
        </w:rPr>
        <w:t>办法</w:t>
      </w:r>
    </w:p>
    <w:p w14:paraId="695C72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28"/>
          <w:szCs w:val="28"/>
          <w:highlight w:val="none"/>
          <w:lang w:val="en-US" w:eastAsia="zh-CN"/>
        </w:rPr>
      </w:pPr>
    </w:p>
    <w:p w14:paraId="344B6E9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本次评审采用</w:t>
      </w:r>
      <w:r>
        <w:rPr>
          <w:rFonts w:hint="eastAsia" w:ascii="宋体" w:hAnsi="宋体"/>
          <w:color w:val="FF0000"/>
          <w:sz w:val="24"/>
          <w:lang w:val="en-US" w:eastAsia="zh-CN"/>
        </w:rPr>
        <w:t>合理低价法</w:t>
      </w:r>
      <w:r>
        <w:rPr>
          <w:rFonts w:hint="eastAsia" w:ascii="宋体" w:hAnsi="宋体"/>
          <w:sz w:val="24"/>
          <w:lang w:val="en-US" w:eastAsia="zh-CN"/>
        </w:rPr>
        <w:t>，根据项目询比文件要求，实行初审和复审。</w:t>
      </w:r>
    </w:p>
    <w:p w14:paraId="37D98BF8">
      <w:pPr>
        <w:spacing w:line="440" w:lineRule="exact"/>
        <w:rPr>
          <w:rFonts w:hint="eastAsia" w:ascii="宋体" w:hAnsi="宋体"/>
          <w:b/>
          <w:sz w:val="24"/>
        </w:rPr>
      </w:pPr>
    </w:p>
    <w:p w14:paraId="74E42B12">
      <w:pPr>
        <w:spacing w:line="440" w:lineRule="exact"/>
        <w:rPr>
          <w:rFonts w:hint="eastAsia" w:ascii="宋体" w:hAnsi="宋体"/>
          <w:b/>
          <w:sz w:val="24"/>
        </w:rPr>
      </w:pPr>
      <w:r>
        <w:rPr>
          <w:rFonts w:hint="eastAsia" w:ascii="宋体" w:hAnsi="宋体"/>
          <w:b/>
          <w:sz w:val="24"/>
          <w:lang w:eastAsia="zh-CN"/>
        </w:rPr>
        <w:t>评审</w:t>
      </w:r>
      <w:r>
        <w:rPr>
          <w:rFonts w:hint="eastAsia" w:ascii="宋体" w:hAnsi="宋体"/>
          <w:b/>
          <w:sz w:val="24"/>
        </w:rPr>
        <w:t>程序：</w:t>
      </w:r>
    </w:p>
    <w:p w14:paraId="4AAE9718">
      <w:pPr>
        <w:spacing w:line="440" w:lineRule="exact"/>
        <w:rPr>
          <w:rFonts w:hint="eastAsia" w:ascii="宋体" w:hAnsi="宋体"/>
          <w:sz w:val="24"/>
        </w:rPr>
      </w:pPr>
      <w:r>
        <w:rPr>
          <w:rFonts w:hint="eastAsia" w:ascii="宋体" w:hAnsi="宋体"/>
          <w:sz w:val="24"/>
        </w:rPr>
        <w:t>（一）项目</w:t>
      </w:r>
      <w:r>
        <w:rPr>
          <w:rFonts w:hint="eastAsia" w:ascii="宋体" w:hAnsi="宋体"/>
          <w:sz w:val="24"/>
          <w:lang w:eastAsia="zh-CN"/>
        </w:rPr>
        <w:t>开启</w:t>
      </w:r>
      <w:r>
        <w:rPr>
          <w:rFonts w:hint="eastAsia" w:ascii="宋体" w:hAnsi="宋体"/>
          <w:sz w:val="24"/>
        </w:rPr>
        <w:t>结束后，评</w:t>
      </w:r>
      <w:r>
        <w:rPr>
          <w:rFonts w:hint="eastAsia" w:ascii="宋体" w:hAnsi="宋体"/>
          <w:sz w:val="24"/>
          <w:lang w:val="en-US" w:eastAsia="zh-CN"/>
        </w:rPr>
        <w:t>审</w:t>
      </w:r>
      <w:r>
        <w:rPr>
          <w:rFonts w:hint="eastAsia" w:ascii="宋体" w:hAnsi="宋体"/>
          <w:sz w:val="24"/>
        </w:rPr>
        <w:t>委员会应当对</w:t>
      </w:r>
      <w:r>
        <w:rPr>
          <w:rFonts w:hint="eastAsia" w:ascii="宋体" w:hAnsi="宋体"/>
          <w:sz w:val="24"/>
          <w:lang w:val="en-US" w:eastAsia="zh-CN"/>
        </w:rPr>
        <w:t>供应商进行资格性和符合性审查，</w:t>
      </w:r>
      <w:r>
        <w:rPr>
          <w:rFonts w:hint="eastAsia" w:ascii="宋体" w:hAnsi="宋体"/>
          <w:sz w:val="24"/>
        </w:rPr>
        <w:t>对出现不符合下列情形之一时，作无效</w:t>
      </w:r>
      <w:r>
        <w:rPr>
          <w:rFonts w:hint="eastAsia" w:ascii="宋体" w:hAnsi="宋体"/>
          <w:sz w:val="24"/>
          <w:lang w:val="en-US" w:eastAsia="zh-CN"/>
        </w:rPr>
        <w:t>响应</w:t>
      </w:r>
      <w:r>
        <w:rPr>
          <w:rFonts w:hint="eastAsia" w:ascii="宋体" w:hAnsi="宋体"/>
          <w:sz w:val="24"/>
        </w:rPr>
        <w:t>处理。</w:t>
      </w:r>
    </w:p>
    <w:p w14:paraId="0FC146FC">
      <w:pPr>
        <w:spacing w:line="440" w:lineRule="exact"/>
        <w:rPr>
          <w:rFonts w:hint="eastAsia" w:asciiTheme="majorEastAsia" w:hAnsiTheme="majorEastAsia" w:eastAsiaTheme="majorEastAsia" w:cstheme="majorEastAsia"/>
          <w:b/>
          <w:bCs/>
          <w:sz w:val="28"/>
          <w:szCs w:val="28"/>
          <w:highlight w:val="none"/>
          <w:lang w:val="en-US" w:eastAsia="zh-CN"/>
        </w:rPr>
      </w:pPr>
      <w:r>
        <w:rPr>
          <w:rFonts w:hint="eastAsia" w:ascii="宋体" w:hAnsi="宋体"/>
          <w:sz w:val="24"/>
        </w:rPr>
        <w:t>《</w:t>
      </w:r>
      <w:r>
        <w:rPr>
          <w:rFonts w:hint="eastAsia" w:ascii="宋体" w:hAnsi="宋体"/>
          <w:sz w:val="24"/>
          <w:lang w:val="en-US" w:eastAsia="zh-CN"/>
        </w:rPr>
        <w:t>资格性和</w:t>
      </w:r>
      <w:r>
        <w:rPr>
          <w:rFonts w:hint="eastAsia" w:ascii="宋体" w:hAnsi="宋体"/>
          <w:sz w:val="24"/>
        </w:rPr>
        <w:t>符合性</w:t>
      </w:r>
      <w:r>
        <w:rPr>
          <w:rFonts w:hint="eastAsia" w:ascii="宋体" w:hAnsi="宋体"/>
          <w:sz w:val="24"/>
          <w:lang w:val="en-US" w:eastAsia="zh-CN"/>
        </w:rPr>
        <w:t>审</w:t>
      </w:r>
      <w:r>
        <w:rPr>
          <w:rFonts w:hint="eastAsia" w:ascii="宋体" w:hAnsi="宋体"/>
          <w:sz w:val="24"/>
        </w:rPr>
        <w:t>查表》如下</w:t>
      </w:r>
      <w:r>
        <w:rPr>
          <w:rFonts w:hint="eastAsia" w:ascii="宋体" w:hAnsi="宋体"/>
          <w:sz w:val="24"/>
          <w:lang w:eastAsia="zh-CN"/>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1"/>
        <w:gridCol w:w="2323"/>
        <w:gridCol w:w="4836"/>
      </w:tblGrid>
      <w:tr w14:paraId="7584E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F3DB76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bookmarkStart w:id="217" w:name="_Toc152045589"/>
            <w:bookmarkStart w:id="218" w:name="_Toc246996975"/>
            <w:bookmarkStart w:id="219" w:name="_Toc247085747"/>
            <w:bookmarkStart w:id="220" w:name="_Toc144974556"/>
            <w:bookmarkStart w:id="221" w:name="_Toc152042366"/>
            <w:bookmarkStart w:id="222" w:name="_Toc246996232"/>
            <w:bookmarkStart w:id="223" w:name="_Toc296602477"/>
            <w:bookmarkStart w:id="224" w:name="_Toc179632607"/>
            <w:r>
              <w:rPr>
                <w:rFonts w:hint="default" w:ascii="Times New Roman" w:hAnsi="Times New Roman" w:cs="Times New Roman" w:eastAsiaTheme="minorEastAsia"/>
                <w:b/>
                <w:kern w:val="0"/>
                <w:sz w:val="24"/>
                <w:szCs w:val="24"/>
                <w:highlight w:val="none"/>
              </w:rPr>
              <w:t>条款号</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951D46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评审因素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C3B2F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评审标准</w:t>
            </w:r>
          </w:p>
        </w:tc>
      </w:tr>
      <w:tr w14:paraId="2204C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3D626B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0DB622D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供应商</w:t>
            </w:r>
            <w:r>
              <w:rPr>
                <w:rFonts w:hint="default" w:ascii="Times New Roman" w:hAnsi="Times New Roman" w:cs="Times New Roman" w:eastAsiaTheme="minorEastAsia"/>
                <w:kern w:val="0"/>
                <w:sz w:val="24"/>
                <w:szCs w:val="24"/>
                <w:highlight w:val="none"/>
              </w:rPr>
              <w:t>名称</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AECF585">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与营业执照、资质证书</w:t>
            </w:r>
            <w:r>
              <w:rPr>
                <w:rFonts w:hint="eastAsia" w:ascii="Times New Roman" w:hAnsi="Times New Roman" w:cs="Times New Roman"/>
                <w:kern w:val="0"/>
                <w:sz w:val="24"/>
                <w:szCs w:val="24"/>
                <w:highlight w:val="none"/>
                <w:lang w:eastAsia="zh-CN"/>
              </w:rPr>
              <w:t>、</w:t>
            </w:r>
            <w:r>
              <w:rPr>
                <w:rFonts w:hint="eastAsia" w:ascii="Times New Roman" w:hAnsi="Times New Roman" w:cs="Times New Roman"/>
                <w:kern w:val="0"/>
                <w:sz w:val="24"/>
                <w:szCs w:val="24"/>
                <w:highlight w:val="none"/>
                <w:lang w:val="en-US" w:eastAsia="zh-CN"/>
              </w:rPr>
              <w:t>安全生产许可证</w:t>
            </w:r>
            <w:r>
              <w:rPr>
                <w:rFonts w:hint="default" w:ascii="Times New Roman" w:hAnsi="Times New Roman" w:cs="Times New Roman"/>
                <w:kern w:val="0"/>
                <w:sz w:val="24"/>
                <w:szCs w:val="24"/>
                <w:highlight w:val="none"/>
                <w:lang w:eastAsia="zh-CN"/>
              </w:rPr>
              <w:t>一致</w:t>
            </w:r>
          </w:p>
        </w:tc>
      </w:tr>
      <w:tr w14:paraId="6A088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97A7F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2</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592DF3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响应文件</w:t>
            </w:r>
            <w:r>
              <w:rPr>
                <w:rFonts w:hint="default" w:ascii="Times New Roman" w:hAnsi="Times New Roman" w:cs="Times New Roman" w:eastAsiaTheme="minorEastAsia"/>
                <w:kern w:val="0"/>
                <w:sz w:val="24"/>
                <w:szCs w:val="24"/>
                <w:highlight w:val="none"/>
              </w:rPr>
              <w:t>签字盖章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709E50">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有法定代表人或其委托代理人签字或加盖单</w:t>
            </w:r>
            <w:r>
              <w:rPr>
                <w:rFonts w:hint="eastAsia" w:ascii="Times New Roman" w:hAnsi="Times New Roman" w:cs="Times New Roman"/>
                <w:kern w:val="0"/>
                <w:sz w:val="24"/>
                <w:szCs w:val="24"/>
                <w:highlight w:val="none"/>
                <w:lang w:eastAsia="zh-CN"/>
              </w:rPr>
              <w:t>位公</w:t>
            </w:r>
            <w:r>
              <w:rPr>
                <w:rFonts w:hint="default" w:ascii="Times New Roman" w:hAnsi="Times New Roman" w:cs="Times New Roman"/>
                <w:kern w:val="0"/>
                <w:sz w:val="24"/>
                <w:szCs w:val="24"/>
                <w:highlight w:val="none"/>
                <w:lang w:eastAsia="zh-CN"/>
              </w:rPr>
              <w:t>章</w:t>
            </w:r>
          </w:p>
        </w:tc>
      </w:tr>
      <w:tr w14:paraId="66D01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7C18C2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3</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292E657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文件格式</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B586E8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5847E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AD5FBA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4</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544139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lang w:val="en-US" w:eastAsia="zh-CN"/>
              </w:rPr>
              <w:t>报价唯一</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03C9A04">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只能有一个有效报价</w:t>
            </w:r>
          </w:p>
        </w:tc>
      </w:tr>
      <w:tr w14:paraId="44A6B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07F3B45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758C7F9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营业执照</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6CE6CD2">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提供合法有效的“多证合一”证件</w:t>
            </w:r>
          </w:p>
        </w:tc>
      </w:tr>
      <w:tr w14:paraId="54FAA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1F017E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51C0FC0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资质要求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297AFA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符合</w:t>
            </w:r>
            <w:r>
              <w:rPr>
                <w:rFonts w:hint="eastAsia" w:ascii="宋体" w:hAnsi="宋体"/>
                <w:sz w:val="24"/>
                <w:szCs w:val="24"/>
                <w:lang w:val="en-US" w:eastAsia="zh-CN"/>
              </w:rPr>
              <w:t>询比</w:t>
            </w:r>
            <w:r>
              <w:rPr>
                <w:rFonts w:hint="eastAsia" w:ascii="宋体" w:hAnsi="宋体"/>
                <w:sz w:val="24"/>
                <w:szCs w:val="24"/>
              </w:rPr>
              <w:t>文件</w:t>
            </w:r>
            <w:r>
              <w:rPr>
                <w:rFonts w:hint="default" w:ascii="Times New Roman" w:hAnsi="Times New Roman" w:cs="Times New Roman" w:eastAsiaTheme="minorEastAsia"/>
                <w:kern w:val="0"/>
                <w:sz w:val="24"/>
                <w:szCs w:val="24"/>
                <w:highlight w:val="none"/>
              </w:rPr>
              <w:t>要求</w:t>
            </w:r>
          </w:p>
        </w:tc>
      </w:tr>
      <w:tr w14:paraId="58502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632C54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7</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00DA396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业绩要求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B66082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符合</w:t>
            </w:r>
            <w:r>
              <w:rPr>
                <w:rFonts w:hint="eastAsia" w:ascii="宋体" w:hAnsi="宋体"/>
                <w:sz w:val="24"/>
                <w:szCs w:val="24"/>
                <w:lang w:val="en-US" w:eastAsia="zh-CN"/>
              </w:rPr>
              <w:t>询比</w:t>
            </w:r>
            <w:r>
              <w:rPr>
                <w:rFonts w:hint="eastAsia" w:ascii="宋体" w:hAnsi="宋体"/>
                <w:sz w:val="24"/>
                <w:szCs w:val="24"/>
              </w:rPr>
              <w:t>文件</w:t>
            </w:r>
            <w:r>
              <w:rPr>
                <w:rFonts w:hint="default" w:ascii="Times New Roman" w:hAnsi="Times New Roman" w:cs="Times New Roman" w:eastAsiaTheme="minorEastAsia"/>
                <w:kern w:val="0"/>
                <w:sz w:val="24"/>
                <w:szCs w:val="24"/>
                <w:highlight w:val="none"/>
              </w:rPr>
              <w:t>要求</w:t>
            </w:r>
          </w:p>
        </w:tc>
      </w:tr>
      <w:tr w14:paraId="14BFE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054DB68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8</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0144774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人员要求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8AE46C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符合</w:t>
            </w:r>
            <w:r>
              <w:rPr>
                <w:rFonts w:hint="eastAsia" w:ascii="宋体" w:hAnsi="宋体"/>
                <w:sz w:val="24"/>
                <w:szCs w:val="24"/>
                <w:lang w:val="en-US" w:eastAsia="zh-CN"/>
              </w:rPr>
              <w:t>询比</w:t>
            </w:r>
            <w:r>
              <w:rPr>
                <w:rFonts w:hint="eastAsia" w:ascii="宋体" w:hAnsi="宋体"/>
                <w:sz w:val="24"/>
                <w:szCs w:val="24"/>
              </w:rPr>
              <w:t>文件</w:t>
            </w:r>
            <w:r>
              <w:rPr>
                <w:rFonts w:hint="default" w:ascii="Times New Roman" w:hAnsi="Times New Roman" w:cs="Times New Roman" w:eastAsiaTheme="minorEastAsia"/>
                <w:kern w:val="0"/>
                <w:sz w:val="24"/>
                <w:szCs w:val="24"/>
                <w:highlight w:val="none"/>
              </w:rPr>
              <w:t>要求</w:t>
            </w:r>
          </w:p>
        </w:tc>
      </w:tr>
      <w:tr w14:paraId="56F5A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0DC46F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9</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508FE6A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其他资格要求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641474">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符合</w:t>
            </w:r>
            <w:r>
              <w:rPr>
                <w:rFonts w:hint="eastAsia" w:ascii="Times New Roman" w:hAnsi="Times New Roman" w:cs="Times New Roman"/>
                <w:kern w:val="0"/>
                <w:sz w:val="24"/>
                <w:szCs w:val="24"/>
                <w:highlight w:val="none"/>
                <w:lang w:val="en-US" w:eastAsia="zh-CN"/>
              </w:rPr>
              <w:t>询比文件</w:t>
            </w:r>
            <w:r>
              <w:rPr>
                <w:rFonts w:hint="eastAsia" w:ascii="宋体" w:hAnsi="宋体"/>
                <w:sz w:val="24"/>
                <w:szCs w:val="24"/>
                <w:lang w:val="en-US" w:eastAsia="zh-CN"/>
              </w:rPr>
              <w:t>中供应商其他资格要求，如信用要求、联合体等。</w:t>
            </w:r>
          </w:p>
        </w:tc>
      </w:tr>
      <w:tr w14:paraId="48A51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88E56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10</w:t>
            </w:r>
          </w:p>
        </w:tc>
        <w:tc>
          <w:tcPr>
            <w:tcW w:w="2323" w:type="dxa"/>
            <w:tcBorders>
              <w:top w:val="single" w:color="auto" w:sz="4" w:space="0"/>
              <w:left w:val="single" w:color="auto" w:sz="4" w:space="0"/>
              <w:bottom w:val="single" w:color="auto" w:sz="4" w:space="0"/>
              <w:right w:val="single" w:color="auto" w:sz="4" w:space="0"/>
            </w:tcBorders>
            <w:noWrap w:val="0"/>
            <w:vAlign w:val="top"/>
          </w:tcPr>
          <w:p w14:paraId="426FE36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报价函</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C209E62">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val="en-US"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1D074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361" w:type="dxa"/>
            <w:tcBorders>
              <w:top w:val="single" w:color="auto" w:sz="4" w:space="0"/>
              <w:bottom w:val="single" w:color="auto" w:sz="4" w:space="0"/>
              <w:right w:val="single" w:color="auto" w:sz="4" w:space="0"/>
            </w:tcBorders>
            <w:noWrap w:val="0"/>
            <w:vAlign w:val="center"/>
          </w:tcPr>
          <w:p w14:paraId="253E2D7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7ABA22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法定代表人身份证明书或授权委托书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2DECE8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eastAsiaTheme="minorEastAsia"/>
                <w:kern w:val="0"/>
                <w:sz w:val="24"/>
                <w:szCs w:val="24"/>
                <w:highlight w:val="none"/>
                <w:lang w:val="en-US"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r>
              <w:rPr>
                <w:rFonts w:hint="eastAsia" w:ascii="宋体" w:hAnsi="宋体"/>
                <w:sz w:val="24"/>
                <w:szCs w:val="24"/>
                <w:lang w:eastAsia="zh-CN"/>
              </w:rPr>
              <w:t>，若法定代表人本人参与，不需提供授权委托书；若被授权人（代理人）参与，须同时提供法定代表人身份证明。</w:t>
            </w:r>
          </w:p>
        </w:tc>
      </w:tr>
      <w:tr w14:paraId="76862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41ACCC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12</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AE885A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响应保证金</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8793AF1">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imes New Roman" w:hAnsi="Times New Roman" w:cs="Times New Roman" w:eastAsiaTheme="minorEastAsia"/>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18662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BA7CCF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13</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625CBE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承诺书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32CFAE6C">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3CBD2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E7BB15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14</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92B9F1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kern w:val="0"/>
                <w:sz w:val="24"/>
                <w:szCs w:val="24"/>
                <w:highlight w:val="none"/>
                <w:lang w:val="en-US" w:eastAsia="zh-CN"/>
              </w:rPr>
              <w:t>文件其他内容</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5014CE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响应</w:t>
            </w:r>
            <w:r>
              <w:rPr>
                <w:rFonts w:hint="eastAsia" w:ascii="Times New Roman" w:hAnsi="Times New Roman" w:cs="Times New Roman"/>
                <w:kern w:val="0"/>
                <w:sz w:val="24"/>
                <w:szCs w:val="24"/>
                <w:highlight w:val="none"/>
                <w:lang w:eastAsia="zh-CN"/>
              </w:rPr>
              <w:t>询比文件</w:t>
            </w:r>
            <w:r>
              <w:rPr>
                <w:rFonts w:hint="default" w:ascii="Times New Roman" w:hAnsi="Times New Roman" w:cs="Times New Roman" w:eastAsiaTheme="minorEastAsia"/>
                <w:kern w:val="0"/>
                <w:sz w:val="24"/>
                <w:szCs w:val="24"/>
                <w:highlight w:val="none"/>
              </w:rPr>
              <w:t>的实质性要求，包括报价、服务时间、</w:t>
            </w:r>
            <w:r>
              <w:rPr>
                <w:rFonts w:hint="eastAsia" w:ascii="Times New Roman" w:hAnsi="Times New Roman" w:cs="Times New Roman"/>
                <w:kern w:val="0"/>
                <w:sz w:val="24"/>
                <w:szCs w:val="24"/>
                <w:highlight w:val="none"/>
                <w:lang w:val="en-US" w:eastAsia="zh-CN"/>
              </w:rPr>
              <w:t>质量标准、方案、</w:t>
            </w:r>
            <w:r>
              <w:rPr>
                <w:rFonts w:hint="default" w:ascii="Times New Roman" w:hAnsi="Times New Roman" w:cs="Times New Roman" w:eastAsiaTheme="minorEastAsia"/>
                <w:kern w:val="0"/>
                <w:sz w:val="24"/>
                <w:szCs w:val="24"/>
                <w:highlight w:val="none"/>
              </w:rPr>
              <w:t>质保期及售后服务措施等</w:t>
            </w:r>
          </w:p>
        </w:tc>
      </w:tr>
    </w:tbl>
    <w:p w14:paraId="64C3C82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宋体" w:hAnsi="宋体"/>
          <w:sz w:val="24"/>
          <w:lang w:val="en-US" w:eastAsia="zh-CN"/>
        </w:rPr>
      </w:pPr>
      <w:r>
        <w:rPr>
          <w:rFonts w:hint="eastAsia" w:ascii="宋体" w:hAnsi="宋体"/>
          <w:sz w:val="24"/>
        </w:rPr>
        <w:t>（</w:t>
      </w:r>
      <w:r>
        <w:rPr>
          <w:rFonts w:hint="eastAsia" w:ascii="宋体" w:hAnsi="宋体"/>
          <w:sz w:val="24"/>
          <w:lang w:val="en-US" w:eastAsia="zh-CN"/>
        </w:rPr>
        <w:t>二</w:t>
      </w:r>
      <w:r>
        <w:rPr>
          <w:rFonts w:hint="eastAsia" w:ascii="宋体" w:hAnsi="宋体"/>
          <w:sz w:val="24"/>
        </w:rPr>
        <w:t>）</w:t>
      </w:r>
      <w:r>
        <w:rPr>
          <w:rFonts w:hint="eastAsia" w:ascii="宋体" w:hAnsi="宋体"/>
          <w:sz w:val="24"/>
          <w:lang w:val="en-US" w:eastAsia="zh-CN"/>
        </w:rPr>
        <w:t>资格性和符合性审查通过后，</w:t>
      </w:r>
      <w:r>
        <w:rPr>
          <w:rFonts w:hint="eastAsia" w:ascii="宋体" w:hAnsi="宋体"/>
          <w:sz w:val="24"/>
        </w:rPr>
        <w:t>评</w:t>
      </w:r>
      <w:r>
        <w:rPr>
          <w:rFonts w:hint="eastAsia" w:ascii="宋体" w:hAnsi="宋体"/>
          <w:sz w:val="24"/>
          <w:lang w:val="en-US" w:eastAsia="zh-CN"/>
        </w:rPr>
        <w:t>审</w:t>
      </w:r>
      <w:r>
        <w:rPr>
          <w:rFonts w:hint="eastAsia" w:ascii="宋体" w:hAnsi="宋体"/>
          <w:sz w:val="24"/>
        </w:rPr>
        <w:t>委员会</w:t>
      </w:r>
      <w:r>
        <w:rPr>
          <w:rFonts w:hint="eastAsia" w:ascii="宋体" w:hAnsi="宋体"/>
          <w:sz w:val="24"/>
          <w:lang w:val="en-US" w:eastAsia="zh-CN"/>
        </w:rPr>
        <w:t>按照以下评审规则确定成交候选人</w:t>
      </w:r>
      <w:r>
        <w:rPr>
          <w:rFonts w:hint="eastAsia" w:ascii="宋体" w:hAnsi="宋体"/>
          <w:color w:val="FF0000"/>
          <w:sz w:val="24"/>
          <w:highlight w:val="yellow"/>
          <w:lang w:val="en-US" w:eastAsia="zh-CN"/>
        </w:rPr>
        <w:t>（适用于合理低价法）</w:t>
      </w:r>
      <w:r>
        <w:rPr>
          <w:rFonts w:hint="eastAsia" w:ascii="宋体" w:hAnsi="宋体"/>
          <w:sz w:val="24"/>
          <w:lang w:val="en-US" w:eastAsia="zh-CN"/>
        </w:rPr>
        <w:t>。</w:t>
      </w:r>
    </w:p>
    <w:p w14:paraId="0D08C71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default" w:ascii="宋体" w:hAnsi="宋体"/>
          <w:sz w:val="24"/>
          <w:lang w:val="en-US" w:eastAsia="zh-CN"/>
        </w:rPr>
      </w:pPr>
      <w:r>
        <w:rPr>
          <w:rFonts w:hint="eastAsia" w:ascii="宋体" w:hAnsi="宋体"/>
          <w:sz w:val="24"/>
          <w:lang w:val="en-US" w:eastAsia="zh-CN"/>
        </w:rPr>
        <w:t>《评审规则》如下：</w:t>
      </w:r>
    </w:p>
    <w:tbl>
      <w:tblPr>
        <w:tblStyle w:val="16"/>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0"/>
        <w:gridCol w:w="1984"/>
        <w:gridCol w:w="4836"/>
      </w:tblGrid>
      <w:tr w14:paraId="7562A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right w:val="single" w:color="auto" w:sz="4" w:space="0"/>
            </w:tcBorders>
            <w:noWrap w:val="0"/>
            <w:vAlign w:val="center"/>
          </w:tcPr>
          <w:p w14:paraId="7289D7C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permStart w:id="41" w:edGrp="everyone" w:colFirst="0" w:colLast="0"/>
            <w:permStart w:id="42" w:edGrp="everyone" w:colFirst="1" w:colLast="1"/>
            <w:permStart w:id="43" w:edGrp="everyone" w:colFirst="2" w:colLast="2"/>
            <w:r>
              <w:rPr>
                <w:rFonts w:hint="eastAsia" w:ascii="Times New Roman" w:hAnsi="Times New Roman" w:cs="Times New Roman"/>
                <w:kern w:val="0"/>
                <w:sz w:val="24"/>
                <w:szCs w:val="24"/>
                <w:highlight w:val="none"/>
                <w:lang w:val="en-US" w:eastAsia="zh-CN"/>
              </w:rPr>
              <w:t>合理低价法</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57570F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color w:val="FF0000"/>
                <w:kern w:val="0"/>
                <w:sz w:val="24"/>
                <w:szCs w:val="24"/>
                <w:highlight w:val="yellow"/>
                <w:lang w:val="en-US" w:eastAsia="zh-CN"/>
              </w:rPr>
            </w:pPr>
            <w:r>
              <w:rPr>
                <w:rFonts w:hint="eastAsia" w:ascii="Times New Roman" w:hAnsi="Times New Roman" w:cs="Times New Roman"/>
                <w:kern w:val="0"/>
                <w:sz w:val="24"/>
                <w:szCs w:val="24"/>
                <w:highlight w:val="none"/>
                <w:lang w:val="en-US" w:eastAsia="zh-CN"/>
              </w:rPr>
              <w:t>成交候选人排序方法</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4BB18D1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以评审合格的</w:t>
            </w:r>
            <w:r>
              <w:rPr>
                <w:rFonts w:hint="eastAsia" w:ascii="Times New Roman" w:hAnsi="Times New Roman" w:cs="Times New Roman"/>
                <w:kern w:val="0"/>
                <w:sz w:val="24"/>
                <w:szCs w:val="24"/>
                <w:highlight w:val="none"/>
                <w:lang w:val="en-US" w:eastAsia="zh-CN"/>
              </w:rPr>
              <w:t>供应商</w:t>
            </w:r>
            <w:r>
              <w:rPr>
                <w:rFonts w:hint="default" w:ascii="Times New Roman" w:hAnsi="Times New Roman" w:cs="Times New Roman"/>
                <w:kern w:val="0"/>
                <w:sz w:val="24"/>
                <w:szCs w:val="24"/>
                <w:highlight w:val="none"/>
                <w:lang w:val="en-US" w:eastAsia="zh-CN"/>
              </w:rPr>
              <w:t>的</w:t>
            </w:r>
            <w:r>
              <w:rPr>
                <w:rFonts w:hint="eastAsia" w:ascii="Times New Roman" w:hAnsi="Times New Roman" w:cs="Times New Roman"/>
                <w:kern w:val="0"/>
                <w:sz w:val="24"/>
                <w:szCs w:val="24"/>
                <w:highlight w:val="none"/>
                <w:lang w:val="en-US" w:eastAsia="zh-CN"/>
              </w:rPr>
              <w:t>响应报价</w:t>
            </w:r>
            <w:r>
              <w:rPr>
                <w:rFonts w:hint="default" w:ascii="Times New Roman" w:hAnsi="Times New Roman" w:cs="Times New Roman"/>
                <w:kern w:val="0"/>
                <w:sz w:val="24"/>
                <w:szCs w:val="24"/>
                <w:highlight w:val="none"/>
                <w:lang w:val="en-US" w:eastAsia="zh-CN"/>
              </w:rPr>
              <w:t>为有效报价：</w:t>
            </w:r>
          </w:p>
          <w:p w14:paraId="615C7E4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（1）有效报价为10家及以上时，去掉2个最高价和2个最低价，取余下</w:t>
            </w:r>
            <w:r>
              <w:rPr>
                <w:rFonts w:hint="eastAsia" w:ascii="Times New Roman" w:hAnsi="Times New Roman" w:cs="Times New Roman"/>
                <w:kern w:val="0"/>
                <w:sz w:val="24"/>
                <w:szCs w:val="24"/>
                <w:highlight w:val="none"/>
                <w:lang w:val="en-US" w:eastAsia="zh-CN"/>
              </w:rPr>
              <w:t>供应商</w:t>
            </w:r>
            <w:r>
              <w:rPr>
                <w:rFonts w:hint="default" w:ascii="Times New Roman" w:hAnsi="Times New Roman" w:cs="Times New Roman"/>
                <w:kern w:val="0"/>
                <w:sz w:val="24"/>
                <w:szCs w:val="24"/>
                <w:highlight w:val="none"/>
                <w:lang w:val="en-US" w:eastAsia="zh-CN"/>
              </w:rPr>
              <w:t>的报价算术平均值作为</w:t>
            </w:r>
            <w:r>
              <w:rPr>
                <w:rFonts w:hint="eastAsia" w:ascii="Times New Roman" w:hAnsi="Times New Roman" w:cs="Times New Roman"/>
                <w:kern w:val="0"/>
                <w:sz w:val="24"/>
                <w:szCs w:val="24"/>
                <w:highlight w:val="none"/>
                <w:lang w:val="en-US" w:eastAsia="zh-CN"/>
              </w:rPr>
              <w:t>评审基准价</w:t>
            </w:r>
            <w:r>
              <w:rPr>
                <w:rFonts w:hint="default" w:ascii="Times New Roman" w:hAnsi="Times New Roman" w:cs="Times New Roman"/>
                <w:kern w:val="0"/>
                <w:sz w:val="24"/>
                <w:szCs w:val="24"/>
                <w:highlight w:val="none"/>
                <w:lang w:val="en-US" w:eastAsia="zh-CN"/>
              </w:rPr>
              <w:t>；</w:t>
            </w:r>
          </w:p>
          <w:p w14:paraId="6615D3C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（2）有效报价为5（含）家至 10（不含）家时，去掉1个最高价和1个最低价，取余下</w:t>
            </w:r>
            <w:r>
              <w:rPr>
                <w:rFonts w:hint="eastAsia" w:ascii="Times New Roman" w:hAnsi="Times New Roman" w:cs="Times New Roman"/>
                <w:kern w:val="0"/>
                <w:sz w:val="24"/>
                <w:szCs w:val="24"/>
                <w:highlight w:val="none"/>
                <w:lang w:val="en-US" w:eastAsia="zh-CN"/>
              </w:rPr>
              <w:t>供应商</w:t>
            </w:r>
            <w:r>
              <w:rPr>
                <w:rFonts w:hint="default" w:ascii="Times New Roman" w:hAnsi="Times New Roman" w:cs="Times New Roman"/>
                <w:kern w:val="0"/>
                <w:sz w:val="24"/>
                <w:szCs w:val="24"/>
                <w:highlight w:val="none"/>
                <w:lang w:val="en-US" w:eastAsia="zh-CN"/>
              </w:rPr>
              <w:t>的报价进行算术平均值作为</w:t>
            </w:r>
            <w:r>
              <w:rPr>
                <w:rFonts w:hint="eastAsia" w:ascii="Times New Roman" w:hAnsi="Times New Roman" w:cs="Times New Roman"/>
                <w:kern w:val="0"/>
                <w:sz w:val="24"/>
                <w:szCs w:val="24"/>
                <w:highlight w:val="none"/>
                <w:lang w:val="en-US" w:eastAsia="zh-CN"/>
              </w:rPr>
              <w:t>评审基准价</w:t>
            </w:r>
            <w:r>
              <w:rPr>
                <w:rFonts w:hint="default" w:ascii="Times New Roman" w:hAnsi="Times New Roman" w:cs="Times New Roman"/>
                <w:kern w:val="0"/>
                <w:sz w:val="24"/>
                <w:szCs w:val="24"/>
                <w:highlight w:val="none"/>
                <w:lang w:val="en-US" w:eastAsia="zh-CN"/>
              </w:rPr>
              <w:t>；</w:t>
            </w:r>
          </w:p>
          <w:p w14:paraId="35357A8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（3）有效报价在5家以下时，取所有</w:t>
            </w:r>
            <w:r>
              <w:rPr>
                <w:rFonts w:hint="eastAsia" w:ascii="Times New Roman" w:hAnsi="Times New Roman" w:cs="Times New Roman"/>
                <w:kern w:val="0"/>
                <w:sz w:val="24"/>
                <w:szCs w:val="24"/>
                <w:highlight w:val="none"/>
                <w:lang w:val="en-US" w:eastAsia="zh-CN"/>
              </w:rPr>
              <w:t>供应商</w:t>
            </w:r>
            <w:r>
              <w:rPr>
                <w:rFonts w:hint="default" w:ascii="Times New Roman" w:hAnsi="Times New Roman" w:cs="Times New Roman"/>
                <w:kern w:val="0"/>
                <w:sz w:val="24"/>
                <w:szCs w:val="24"/>
                <w:highlight w:val="none"/>
                <w:lang w:val="en-US" w:eastAsia="zh-CN"/>
              </w:rPr>
              <w:t>的报价进行算术平均值作为</w:t>
            </w:r>
            <w:r>
              <w:rPr>
                <w:rFonts w:hint="eastAsia" w:ascii="Times New Roman" w:hAnsi="Times New Roman" w:cs="Times New Roman"/>
                <w:kern w:val="0"/>
                <w:sz w:val="24"/>
                <w:szCs w:val="24"/>
                <w:highlight w:val="none"/>
                <w:lang w:val="en-US" w:eastAsia="zh-CN"/>
              </w:rPr>
              <w:t>评审基准价</w:t>
            </w:r>
            <w:r>
              <w:rPr>
                <w:rFonts w:hint="default" w:ascii="Times New Roman" w:hAnsi="Times New Roman" w:cs="Times New Roman"/>
                <w:kern w:val="0"/>
                <w:sz w:val="24"/>
                <w:szCs w:val="24"/>
                <w:highlight w:val="none"/>
                <w:lang w:val="en-US" w:eastAsia="zh-CN"/>
              </w:rPr>
              <w:t>。</w:t>
            </w:r>
          </w:p>
          <w:p w14:paraId="00E701C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取所有纳入</w:t>
            </w:r>
            <w:r>
              <w:rPr>
                <w:rFonts w:hint="eastAsia" w:ascii="Times New Roman" w:hAnsi="Times New Roman" w:cs="Times New Roman"/>
                <w:kern w:val="0"/>
                <w:sz w:val="24"/>
                <w:szCs w:val="24"/>
                <w:highlight w:val="none"/>
                <w:lang w:val="en-US" w:eastAsia="zh-CN"/>
              </w:rPr>
              <w:t>评审基准价</w:t>
            </w:r>
            <w:r>
              <w:rPr>
                <w:rFonts w:hint="default" w:ascii="Times New Roman" w:hAnsi="Times New Roman" w:cs="Times New Roman"/>
                <w:kern w:val="0"/>
                <w:sz w:val="24"/>
                <w:szCs w:val="24"/>
                <w:highlight w:val="none"/>
                <w:lang w:val="en-US" w:eastAsia="zh-CN"/>
              </w:rPr>
              <w:t>计算的</w:t>
            </w:r>
            <w:r>
              <w:rPr>
                <w:rFonts w:hint="eastAsia" w:ascii="Times New Roman" w:hAnsi="Times New Roman" w:cs="Times New Roman"/>
                <w:kern w:val="0"/>
                <w:sz w:val="24"/>
                <w:szCs w:val="24"/>
                <w:highlight w:val="none"/>
                <w:lang w:val="en-US" w:eastAsia="zh-CN"/>
              </w:rPr>
              <w:t>响应报价</w:t>
            </w:r>
            <w:r>
              <w:rPr>
                <w:rFonts w:hint="default" w:ascii="Times New Roman" w:hAnsi="Times New Roman" w:cs="Times New Roman"/>
                <w:kern w:val="0"/>
                <w:sz w:val="24"/>
                <w:szCs w:val="24"/>
                <w:highlight w:val="none"/>
                <w:lang w:val="en-US" w:eastAsia="zh-CN"/>
              </w:rPr>
              <w:t>与</w:t>
            </w:r>
            <w:r>
              <w:rPr>
                <w:rFonts w:hint="eastAsia" w:ascii="Times New Roman" w:hAnsi="Times New Roman" w:cs="Times New Roman"/>
                <w:kern w:val="0"/>
                <w:sz w:val="24"/>
                <w:szCs w:val="24"/>
                <w:highlight w:val="none"/>
                <w:lang w:val="en-US" w:eastAsia="zh-CN"/>
              </w:rPr>
              <w:t>评审基准价</w:t>
            </w:r>
            <w:r>
              <w:rPr>
                <w:rFonts w:hint="default" w:ascii="Times New Roman" w:hAnsi="Times New Roman" w:cs="Times New Roman"/>
                <w:kern w:val="0"/>
                <w:sz w:val="24"/>
                <w:szCs w:val="24"/>
                <w:highlight w:val="none"/>
                <w:lang w:val="en-US" w:eastAsia="zh-CN"/>
              </w:rPr>
              <w:t>相减，其差值绝对值最小的为第一名，次小的为第二名……以此类推。</w:t>
            </w:r>
          </w:p>
          <w:p w14:paraId="2696FE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（说明：去掉1个或 2个最高价，是指按照有效报价排序，从排序最高的有效报价依次去掉；去掉1个或2个最低价，是指按照有效报价排序，从排序最低的有效报价依次去掉。）</w:t>
            </w:r>
          </w:p>
        </w:tc>
      </w:tr>
      <w:permEnd w:id="41"/>
      <w:permEnd w:id="42"/>
      <w:permEnd w:id="43"/>
    </w:tbl>
    <w:p w14:paraId="66C0CC0E">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w:t>
      </w:r>
      <w:r>
        <w:rPr>
          <w:rFonts w:hint="eastAsia" w:asciiTheme="minorEastAsia" w:hAnsiTheme="minorEastAsia" w:cstheme="minorEastAsia"/>
          <w:sz w:val="24"/>
          <w:szCs w:val="24"/>
          <w:u w:val="none"/>
          <w:lang w:val="en-US" w:eastAsia="zh-CN"/>
        </w:rPr>
        <w:t>1.</w:t>
      </w:r>
      <w:r>
        <w:rPr>
          <w:rFonts w:hint="eastAsia" w:asciiTheme="minorEastAsia" w:hAnsiTheme="minorEastAsia" w:eastAsiaTheme="minorEastAsia" w:cstheme="minorEastAsia"/>
          <w:sz w:val="24"/>
          <w:szCs w:val="24"/>
          <w:u w:val="none"/>
          <w:lang w:val="en-US" w:eastAsia="zh-CN"/>
        </w:rPr>
        <w:t>资格性检查和符合性检查的相关证照、证明、证书、证件、合同等，原件的扫描件编入响应文件，原件成交后由采购人核验。</w:t>
      </w:r>
    </w:p>
    <w:p w14:paraId="2D50949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heme="minorEastAsia" w:hAnsiTheme="minorEastAsia" w:eastAsiaTheme="minorEastAsia" w:cstheme="minorEastAsia"/>
          <w:sz w:val="24"/>
          <w:szCs w:val="24"/>
          <w:u w:val="none"/>
          <w:lang w:val="en-US" w:eastAsia="zh-CN"/>
        </w:rPr>
      </w:pPr>
      <w:r>
        <w:rPr>
          <w:rFonts w:hint="default" w:asciiTheme="minorEastAsia" w:hAnsiTheme="minorEastAsia" w:eastAsiaTheme="minorEastAsia" w:cstheme="minorEastAsia"/>
          <w:sz w:val="24"/>
          <w:szCs w:val="24"/>
          <w:u w:val="none"/>
          <w:lang w:val="en-US" w:eastAsia="zh-CN"/>
        </w:rPr>
        <w:t>2</w:t>
      </w:r>
      <w:r>
        <w:rPr>
          <w:rFonts w:hint="eastAsia" w:asciiTheme="minorEastAsia" w:hAnsiTheme="minorEastAsia" w:cstheme="minorEastAsia"/>
          <w:sz w:val="24"/>
          <w:szCs w:val="24"/>
          <w:u w:val="none"/>
          <w:lang w:val="en-US" w:eastAsia="zh-CN"/>
        </w:rPr>
        <w:t>.供应商应</w:t>
      </w:r>
      <w:r>
        <w:rPr>
          <w:rFonts w:hint="default" w:asciiTheme="minorEastAsia" w:hAnsiTheme="minorEastAsia" w:eastAsiaTheme="minorEastAsia" w:cstheme="minorEastAsia"/>
          <w:sz w:val="24"/>
          <w:szCs w:val="24"/>
          <w:u w:val="none"/>
          <w:lang w:val="en-US" w:eastAsia="zh-CN"/>
        </w:rPr>
        <w:t>按照</w:t>
      </w:r>
      <w:r>
        <w:rPr>
          <w:rFonts w:hint="eastAsia" w:asciiTheme="minorEastAsia" w:hAnsiTheme="minorEastAsia" w:cstheme="minorEastAsia"/>
          <w:sz w:val="24"/>
          <w:szCs w:val="24"/>
          <w:u w:val="none"/>
          <w:lang w:val="en-US" w:eastAsia="zh-CN"/>
        </w:rPr>
        <w:t>询比</w:t>
      </w:r>
      <w:r>
        <w:rPr>
          <w:rFonts w:hint="default" w:asciiTheme="minorEastAsia" w:hAnsiTheme="minorEastAsia" w:eastAsiaTheme="minorEastAsia" w:cstheme="minorEastAsia"/>
          <w:sz w:val="24"/>
          <w:szCs w:val="24"/>
          <w:u w:val="none"/>
          <w:lang w:val="en-US" w:eastAsia="zh-CN"/>
        </w:rPr>
        <w:t>文件要求进行签字或盖章</w:t>
      </w:r>
      <w:r>
        <w:rPr>
          <w:rFonts w:hint="eastAsia" w:asciiTheme="minorEastAsia" w:hAnsiTheme="minorEastAsia" w:cstheme="minorEastAsia"/>
          <w:sz w:val="24"/>
          <w:szCs w:val="24"/>
          <w:u w:val="none"/>
          <w:lang w:val="en-US" w:eastAsia="zh-CN"/>
        </w:rPr>
        <w:t>，否则评审委员会应按无效响应处理，具体要求详见供应商须知前附表17。</w:t>
      </w:r>
    </w:p>
    <w:p w14:paraId="2C880A3A">
      <w:pPr>
        <w:rPr>
          <w:rFonts w:hint="eastAsia" w:ascii="Times New Roman" w:hAnsi="Times New Roman" w:cs="Times New Roman"/>
          <w:kern w:val="0"/>
          <w:sz w:val="24"/>
          <w:szCs w:val="24"/>
          <w:highlight w:val="none"/>
          <w:lang w:val="en-US" w:eastAsia="zh-CN"/>
        </w:rPr>
      </w:pPr>
      <w:bookmarkStart w:id="225" w:name="_Toc247085751"/>
      <w:bookmarkStart w:id="226" w:name="_Toc246996236"/>
      <w:bookmarkStart w:id="227" w:name="_Toc296602481"/>
      <w:bookmarkStart w:id="228" w:name="_Toc246996979"/>
      <w:bookmarkStart w:id="229" w:name="_Toc152042370"/>
      <w:bookmarkStart w:id="230" w:name="_Toc179632611"/>
      <w:bookmarkStart w:id="231" w:name="_Toc144974560"/>
      <w:bookmarkStart w:id="232" w:name="_Toc152045593"/>
    </w:p>
    <w:p w14:paraId="6F53FF91">
      <w:pPr>
        <w:rPr>
          <w:rFonts w:hint="default"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b/>
          <w:bCs/>
          <w:kern w:val="0"/>
          <w:sz w:val="28"/>
          <w:szCs w:val="28"/>
          <w:highlight w:val="none"/>
        </w:rPr>
        <w:t xml:space="preserve">1. </w:t>
      </w:r>
      <w:r>
        <w:rPr>
          <w:rFonts w:hint="eastAsia" w:ascii="Times New Roman" w:hAnsi="Times New Roman" w:cs="Times New Roman"/>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方法</w:t>
      </w:r>
      <w:r>
        <w:rPr>
          <w:rFonts w:hint="eastAsia" w:ascii="Times New Roman" w:hAnsi="Times New Roman" w:cs="Times New Roman"/>
          <w:b/>
          <w:bCs/>
          <w:kern w:val="0"/>
          <w:sz w:val="28"/>
          <w:szCs w:val="28"/>
          <w:highlight w:val="none"/>
          <w:lang w:eastAsia="zh-CN"/>
        </w:rPr>
        <w:t>（</w:t>
      </w:r>
      <w:r>
        <w:rPr>
          <w:rFonts w:hint="eastAsia" w:ascii="Times New Roman" w:hAnsi="Times New Roman" w:cs="Times New Roman"/>
          <w:b/>
          <w:bCs/>
          <w:kern w:val="0"/>
          <w:sz w:val="28"/>
          <w:szCs w:val="28"/>
          <w:highlight w:val="none"/>
          <w:lang w:val="en-US" w:eastAsia="zh-CN"/>
        </w:rPr>
        <w:t>合理低价法）</w:t>
      </w:r>
    </w:p>
    <w:p w14:paraId="3B52192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kern w:val="0"/>
          <w:sz w:val="24"/>
          <w:szCs w:val="24"/>
          <w:highlight w:val="none"/>
        </w:rPr>
        <w:t>本次</w:t>
      </w:r>
      <w:r>
        <w:rPr>
          <w:rFonts w:hint="eastAsia" w:ascii="Times New Roman" w:hAnsi="Times New Roman" w:cs="Times New Roman"/>
          <w:kern w:val="0"/>
          <w:sz w:val="24"/>
          <w:szCs w:val="24"/>
          <w:highlight w:val="none"/>
          <w:lang w:val="en-US" w:eastAsia="zh-CN"/>
        </w:rPr>
        <w:t>评审</w:t>
      </w:r>
      <w:r>
        <w:rPr>
          <w:rFonts w:hint="default" w:ascii="Times New Roman" w:hAnsi="Times New Roman" w:cs="Times New Roman" w:eastAsiaTheme="minorEastAsia"/>
          <w:kern w:val="0"/>
          <w:sz w:val="24"/>
          <w:szCs w:val="24"/>
          <w:highlight w:val="none"/>
        </w:rPr>
        <w:t>采用合理低价法。评</w:t>
      </w:r>
      <w:r>
        <w:rPr>
          <w:rFonts w:hint="eastAsia" w:ascii="Times New Roman" w:hAnsi="Times New Roman" w:cs="Times New Roman"/>
          <w:kern w:val="0"/>
          <w:sz w:val="24"/>
          <w:szCs w:val="24"/>
          <w:highlight w:val="none"/>
          <w:lang w:val="en-US" w:eastAsia="zh-CN"/>
        </w:rPr>
        <w:t>审</w:t>
      </w:r>
      <w:r>
        <w:rPr>
          <w:rFonts w:hint="default" w:ascii="Times New Roman" w:hAnsi="Times New Roman" w:cs="Times New Roman" w:eastAsiaTheme="minorEastAsia"/>
          <w:kern w:val="0"/>
          <w:sz w:val="24"/>
          <w:szCs w:val="24"/>
          <w:highlight w:val="none"/>
        </w:rPr>
        <w:t>委员会对满足</w:t>
      </w:r>
      <w:r>
        <w:rPr>
          <w:rFonts w:hint="eastAsia" w:ascii="Times New Roman" w:hAnsi="Times New Roman" w:cs="Times New Roman"/>
          <w:kern w:val="0"/>
          <w:sz w:val="24"/>
          <w:szCs w:val="24"/>
          <w:highlight w:val="none"/>
          <w:lang w:val="en-US" w:eastAsia="zh-CN"/>
        </w:rPr>
        <w:t>询比</w:t>
      </w:r>
      <w:r>
        <w:rPr>
          <w:rFonts w:hint="default" w:ascii="Times New Roman" w:hAnsi="Times New Roman" w:cs="Times New Roman" w:eastAsiaTheme="minorEastAsia"/>
          <w:kern w:val="0"/>
          <w:sz w:val="24"/>
          <w:szCs w:val="24"/>
          <w:highlight w:val="none"/>
        </w:rPr>
        <w:t>文件实质要求的</w:t>
      </w: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文件，按照本章</w:t>
      </w:r>
      <w:r>
        <w:rPr>
          <w:rFonts w:hint="eastAsia" w:ascii="Times New Roman" w:hAnsi="Times New Roman" w:cs="Times New Roman"/>
          <w:kern w:val="0"/>
          <w:sz w:val="24"/>
          <w:szCs w:val="24"/>
          <w:highlight w:val="none"/>
          <w:lang w:val="en-US" w:eastAsia="zh-CN"/>
        </w:rPr>
        <w:t>评审程序</w:t>
      </w:r>
      <w:r>
        <w:rPr>
          <w:rFonts w:hint="default" w:ascii="Times New Roman" w:hAnsi="Times New Roman" w:cs="Times New Roman" w:eastAsiaTheme="minorEastAsia"/>
          <w:kern w:val="0"/>
          <w:sz w:val="24"/>
          <w:szCs w:val="24"/>
          <w:highlight w:val="none"/>
        </w:rPr>
        <w:t>中的评</w:t>
      </w:r>
      <w:r>
        <w:rPr>
          <w:rFonts w:hint="eastAsia" w:ascii="Times New Roman" w:hAnsi="Times New Roman" w:cs="Times New Roman"/>
          <w:kern w:val="0"/>
          <w:sz w:val="24"/>
          <w:szCs w:val="24"/>
          <w:highlight w:val="none"/>
          <w:lang w:val="en-US" w:eastAsia="zh-CN"/>
        </w:rPr>
        <w:t>审规则</w:t>
      </w:r>
      <w:r>
        <w:rPr>
          <w:rFonts w:hint="default" w:ascii="Times New Roman" w:hAnsi="Times New Roman" w:cs="Times New Roman" w:eastAsiaTheme="minorEastAsia"/>
          <w:kern w:val="0"/>
          <w:sz w:val="24"/>
          <w:szCs w:val="24"/>
          <w:highlight w:val="none"/>
        </w:rPr>
        <w:t>推荐</w:t>
      </w:r>
      <w:r>
        <w:rPr>
          <w:rFonts w:hint="eastAsia" w:ascii="Times New Roman" w:hAnsi="Times New Roman" w:cs="Times New Roman"/>
          <w:kern w:val="0"/>
          <w:sz w:val="24"/>
          <w:szCs w:val="24"/>
          <w:highlight w:val="none"/>
          <w:lang w:val="en-US" w:eastAsia="zh-CN"/>
        </w:rPr>
        <w:t>成交</w:t>
      </w:r>
      <w:r>
        <w:rPr>
          <w:rFonts w:hint="default" w:ascii="Times New Roman" w:hAnsi="Times New Roman" w:cs="Times New Roman" w:eastAsiaTheme="minorEastAsia"/>
          <w:kern w:val="0"/>
          <w:sz w:val="24"/>
          <w:szCs w:val="24"/>
          <w:highlight w:val="none"/>
        </w:rPr>
        <w:t>候选人，</w:t>
      </w:r>
      <w:r>
        <w:rPr>
          <w:rFonts w:hint="eastAsia" w:ascii="Times New Roman" w:hAnsi="Times New Roman" w:cs="Times New Roman"/>
          <w:kern w:val="0"/>
          <w:sz w:val="24"/>
          <w:szCs w:val="24"/>
          <w:highlight w:val="none"/>
          <w:lang w:val="en-US" w:eastAsia="zh-CN"/>
        </w:rPr>
        <w:t>或根据采购人授权直接确定成交人，但报价低于其成本的除外。报价绝对差值相等时，以报价低的优先；报价也相等的，由采购人或其授权的评审委员会自行确定。</w:t>
      </w:r>
    </w:p>
    <w:p w14:paraId="550EE223">
      <w:pPr>
        <w:rPr>
          <w:rFonts w:hint="default" w:ascii="Times New Roman" w:hAnsi="Times New Roman" w:cs="Times New Roman" w:eastAsiaTheme="minorEastAsia"/>
          <w:b/>
          <w:bCs/>
          <w:kern w:val="0"/>
          <w:sz w:val="28"/>
          <w:szCs w:val="28"/>
          <w:highlight w:val="none"/>
        </w:rPr>
      </w:pPr>
      <w:r>
        <w:rPr>
          <w:rFonts w:hint="eastAsia" w:ascii="Times New Roman" w:hAnsi="Times New Roman" w:cs="Times New Roman" w:eastAsiaTheme="minorEastAsia"/>
          <w:b/>
          <w:bCs/>
          <w:kern w:val="0"/>
          <w:sz w:val="28"/>
          <w:szCs w:val="28"/>
          <w:highlight w:val="none"/>
          <w:lang w:val="en-US" w:eastAsia="zh-CN"/>
        </w:rPr>
        <w:t>2</w:t>
      </w:r>
      <w:r>
        <w:rPr>
          <w:rFonts w:hint="default" w:ascii="Times New Roman" w:hAnsi="Times New Roman" w:cs="Times New Roman" w:eastAsiaTheme="minorEastAsia"/>
          <w:b/>
          <w:bCs/>
          <w:kern w:val="0"/>
          <w:sz w:val="28"/>
          <w:szCs w:val="28"/>
          <w:highlight w:val="none"/>
        </w:rPr>
        <w:t xml:space="preserve">. </w:t>
      </w:r>
      <w:r>
        <w:rPr>
          <w:rFonts w:hint="eastAsia" w:ascii="Times New Roman" w:hAnsi="Times New Roman" w:cs="Times New Roman" w:eastAsiaTheme="minorEastAsia"/>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程序</w:t>
      </w:r>
      <w:bookmarkEnd w:id="225"/>
      <w:bookmarkEnd w:id="226"/>
      <w:bookmarkEnd w:id="227"/>
      <w:bookmarkEnd w:id="228"/>
      <w:bookmarkEnd w:id="229"/>
      <w:bookmarkEnd w:id="230"/>
      <w:bookmarkEnd w:id="231"/>
      <w:bookmarkEnd w:id="232"/>
    </w:p>
    <w:p w14:paraId="0EDB096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.1评</w:t>
      </w:r>
      <w:r>
        <w:rPr>
          <w:rFonts w:hint="eastAsia" w:ascii="Times New Roman" w:hAnsi="Times New Roman" w:cs="Times New Roman"/>
          <w:kern w:val="0"/>
          <w:sz w:val="24"/>
          <w:szCs w:val="24"/>
          <w:highlight w:val="none"/>
          <w:lang w:val="en-US" w:eastAsia="zh-CN"/>
        </w:rPr>
        <w:t>审时，</w:t>
      </w:r>
      <w:r>
        <w:rPr>
          <w:rFonts w:hint="eastAsia" w:ascii="Times New Roman" w:hAnsi="Times New Roman" w:cs="Times New Roman"/>
          <w:kern w:val="0"/>
          <w:sz w:val="24"/>
          <w:szCs w:val="24"/>
          <w:highlight w:val="none"/>
          <w:lang w:eastAsia="zh-CN"/>
        </w:rPr>
        <w:t>应当遵循下列工作程序：</w:t>
      </w:r>
    </w:p>
    <w:p w14:paraId="0D4B0F2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.1.1资格性检查。依据法律法规和</w:t>
      </w:r>
      <w:r>
        <w:rPr>
          <w:rFonts w:hint="eastAsia" w:ascii="Times New Roman" w:hAnsi="Times New Roman" w:cs="Times New Roman"/>
          <w:kern w:val="0"/>
          <w:sz w:val="24"/>
          <w:szCs w:val="24"/>
          <w:highlight w:val="none"/>
          <w:lang w:val="en-US" w:eastAsia="zh-CN"/>
        </w:rPr>
        <w:t>询比</w:t>
      </w:r>
      <w:r>
        <w:rPr>
          <w:rFonts w:hint="eastAsia" w:ascii="Times New Roman" w:hAnsi="Times New Roman" w:cs="Times New Roman"/>
          <w:kern w:val="0"/>
          <w:sz w:val="24"/>
          <w:szCs w:val="24"/>
          <w:highlight w:val="none"/>
          <w:lang w:eastAsia="zh-CN"/>
        </w:rPr>
        <w:t>文件的规定，对响应文件中的资格证明、</w:t>
      </w:r>
      <w:r>
        <w:rPr>
          <w:rFonts w:hint="eastAsia" w:ascii="Times New Roman" w:hAnsi="Times New Roman" w:cs="Times New Roman"/>
          <w:kern w:val="0"/>
          <w:sz w:val="24"/>
          <w:szCs w:val="24"/>
          <w:highlight w:val="none"/>
          <w:lang w:val="en-US" w:eastAsia="zh-CN"/>
        </w:rPr>
        <w:t>响应</w:t>
      </w:r>
      <w:r>
        <w:rPr>
          <w:rFonts w:hint="eastAsia" w:ascii="Times New Roman" w:hAnsi="Times New Roman" w:cs="Times New Roman"/>
          <w:kern w:val="0"/>
          <w:sz w:val="24"/>
          <w:szCs w:val="24"/>
          <w:highlight w:val="none"/>
          <w:lang w:eastAsia="zh-CN"/>
        </w:rPr>
        <w:t>保证金等进行审查，以确定供应商是否具备资格。</w:t>
      </w:r>
    </w:p>
    <w:p w14:paraId="116BB18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.1.2符合性检查。依据询比文件的规定，从响应文件的有效性、完整性和对询比文件的响应程度进行审查，以确定是否对询比文件的实质性要求作出响应。</w:t>
      </w:r>
    </w:p>
    <w:p w14:paraId="1C642DC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2澄清有关问题。对响应文件中含义不明确、同类问题表述不一致或者有明显文字和计算错误的内容，评审委员会可以书面形式要求供应商作出必要的澄清、说明或者纠正。供应商的澄清、说明或者补正应当采用书面形式，由其授权的代表签字，并不得超出响应文件的范围或者改变响应文件的实质性内容。</w:t>
      </w:r>
    </w:p>
    <w:p w14:paraId="23242F2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2.3</w:t>
      </w:r>
      <w:r>
        <w:rPr>
          <w:rFonts w:hint="default" w:ascii="Times New Roman" w:hAnsi="Times New Roman" w:cs="Times New Roman" w:eastAsiaTheme="minorEastAsia"/>
          <w:kern w:val="0"/>
          <w:sz w:val="24"/>
          <w:szCs w:val="24"/>
          <w:highlight w:val="none"/>
        </w:rPr>
        <w:t xml:space="preserve"> </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有以下情形之一的，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应当认定其响应无效：</w:t>
      </w:r>
    </w:p>
    <w:p w14:paraId="01D0E10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不符合资格性和符合性审查规定的任何一种情形的；</w:t>
      </w:r>
    </w:p>
    <w:p w14:paraId="3F95DD7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（2）相互串通或弄虚作假或有其他违法行为的；</w:t>
      </w:r>
    </w:p>
    <w:p w14:paraId="638E74E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3</w:t>
      </w:r>
      <w:r>
        <w:rPr>
          <w:rFonts w:hint="default" w:ascii="Times New Roman" w:hAnsi="Times New Roman" w:cs="Times New Roman" w:eastAsiaTheme="minorEastAsia"/>
          <w:kern w:val="0"/>
          <w:sz w:val="24"/>
          <w:szCs w:val="24"/>
          <w:highlight w:val="none"/>
        </w:rPr>
        <w:t>）不按</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要求澄清、说明或补正的。</w:t>
      </w:r>
    </w:p>
    <w:p w14:paraId="23BD0EF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2.4</w:t>
      </w:r>
      <w:r>
        <w:rPr>
          <w:rFonts w:hint="default" w:ascii="Times New Roman" w:hAnsi="Times New Roman" w:cs="Times New Roman" w:eastAsiaTheme="minorEastAsia"/>
          <w:kern w:val="0"/>
          <w:sz w:val="24"/>
          <w:szCs w:val="24"/>
          <w:highlight w:val="none"/>
        </w:rPr>
        <w:t>报价有算术错误的，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按以下原则</w:t>
      </w:r>
      <w:r>
        <w:rPr>
          <w:rFonts w:hint="eastAsia" w:ascii="Times New Roman" w:hAnsi="Times New Roman" w:cs="Times New Roman"/>
          <w:kern w:val="0"/>
          <w:sz w:val="24"/>
          <w:szCs w:val="24"/>
          <w:highlight w:val="none"/>
          <w:lang w:val="en-US" w:eastAsia="zh-CN"/>
        </w:rPr>
        <w:t>对报价进行修正，修正的价格经供应商书面确认后具有约束力。供应商不接受修正价格的，评审委员会应当认定其响应无效。</w:t>
      </w:r>
    </w:p>
    <w:p w14:paraId="0FDA3C1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响应文件</w:t>
      </w:r>
      <w:r>
        <w:rPr>
          <w:rFonts w:hint="default" w:ascii="Times New Roman" w:hAnsi="Times New Roman" w:cs="Times New Roman" w:eastAsiaTheme="minorEastAsia"/>
          <w:kern w:val="0"/>
          <w:sz w:val="24"/>
          <w:szCs w:val="24"/>
          <w:highlight w:val="none"/>
        </w:rPr>
        <w:t>中的大写金额与小写金额不一致的，以大写金额为准；</w:t>
      </w:r>
    </w:p>
    <w:p w14:paraId="6F7A039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（2）总价金额与</w:t>
      </w:r>
      <w:r>
        <w:rPr>
          <w:rFonts w:hint="eastAsia" w:ascii="Times New Roman" w:hAnsi="Times New Roman" w:cs="Times New Roman"/>
          <w:kern w:val="0"/>
          <w:sz w:val="24"/>
          <w:szCs w:val="24"/>
          <w:highlight w:val="none"/>
          <w:lang w:val="en-US" w:eastAsia="zh-CN"/>
        </w:rPr>
        <w:t>依据单价计算出的结果不一致的，以单价金额为准修正总价，但单价金额小数点有明显错误的除外。</w:t>
      </w:r>
    </w:p>
    <w:p w14:paraId="14B8F639">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eastAsiaTheme="minorEastAsia"/>
          <w:kern w:val="0"/>
          <w:sz w:val="24"/>
          <w:szCs w:val="24"/>
          <w:highlight w:val="none"/>
        </w:rPr>
      </w:pPr>
      <w:bookmarkStart w:id="233" w:name="_Toc144974563"/>
      <w:bookmarkStart w:id="234" w:name="_Toc296602484"/>
      <w:bookmarkStart w:id="235" w:name="_Toc179632614"/>
      <w:bookmarkStart w:id="236" w:name="_Toc152045596"/>
      <w:bookmarkStart w:id="237" w:name="_Toc246996982"/>
      <w:bookmarkStart w:id="238" w:name="_Toc247085754"/>
      <w:bookmarkStart w:id="239" w:name="_Toc152042373"/>
      <w:bookmarkStart w:id="240" w:name="_Toc246996239"/>
      <w:r>
        <w:rPr>
          <w:rFonts w:hint="eastAsia" w:ascii="Times New Roman" w:hAnsi="Times New Roman" w:cs="Times New Roman"/>
          <w:kern w:val="0"/>
          <w:sz w:val="24"/>
          <w:szCs w:val="24"/>
          <w:highlight w:val="none"/>
          <w:lang w:val="en-US" w:eastAsia="zh-CN"/>
        </w:rPr>
        <w:t>2.5</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发现</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的报价明显低于其他</w:t>
      </w:r>
      <w:r>
        <w:rPr>
          <w:rFonts w:hint="eastAsia" w:ascii="Times New Roman" w:hAnsi="Times New Roman" w:cs="Times New Roman"/>
          <w:kern w:val="0"/>
          <w:sz w:val="24"/>
          <w:szCs w:val="24"/>
          <w:highlight w:val="none"/>
          <w:lang w:eastAsia="zh-CN"/>
        </w:rPr>
        <w:t>报价</w:t>
      </w: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使得其报价可能低于其个别成本的，应当要求供应商作出书面说明并提供相应的证明材料。供应商</w:t>
      </w:r>
      <w:r>
        <w:rPr>
          <w:rFonts w:hint="default" w:ascii="Times New Roman" w:hAnsi="Times New Roman" w:cs="Times New Roman" w:eastAsiaTheme="minorEastAsia"/>
          <w:kern w:val="0"/>
          <w:sz w:val="24"/>
          <w:szCs w:val="24"/>
          <w:highlight w:val="none"/>
        </w:rPr>
        <w:t>不能合理说明或者不能提供相应证明材料的，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应当认定该</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以低于成本报价竞标，其响应文件将被视为无效。</w:t>
      </w:r>
    </w:p>
    <w:p w14:paraId="6F218327">
      <w:pPr>
        <w:rPr>
          <w:rFonts w:hint="default" w:ascii="Times New Roman" w:hAnsi="Times New Roman" w:cs="Times New Roman" w:eastAsiaTheme="minorEastAsia"/>
          <w:b/>
          <w:bCs/>
          <w:kern w:val="0"/>
          <w:sz w:val="28"/>
          <w:szCs w:val="28"/>
          <w:highlight w:val="none"/>
          <w:lang w:eastAsia="zh-CN"/>
        </w:rPr>
      </w:pPr>
      <w:r>
        <w:rPr>
          <w:rFonts w:hint="default" w:ascii="Times New Roman" w:hAnsi="Times New Roman" w:cs="Times New Roman" w:eastAsiaTheme="minorEastAsia"/>
          <w:b/>
          <w:bCs/>
          <w:kern w:val="0"/>
          <w:sz w:val="28"/>
          <w:szCs w:val="28"/>
          <w:highlight w:val="none"/>
          <w:lang w:eastAsia="zh-CN"/>
        </w:rPr>
        <w:t>3</w:t>
      </w:r>
      <w:r>
        <w:rPr>
          <w:rFonts w:hint="eastAsia" w:ascii="Times New Roman" w:hAnsi="Times New Roman" w:cs="Times New Roman" w:eastAsiaTheme="minorEastAsia"/>
          <w:b/>
          <w:bCs/>
          <w:kern w:val="0"/>
          <w:sz w:val="28"/>
          <w:szCs w:val="28"/>
          <w:highlight w:val="none"/>
          <w:lang w:eastAsia="zh-CN"/>
        </w:rPr>
        <w:t>响应文件</w:t>
      </w:r>
      <w:r>
        <w:rPr>
          <w:rFonts w:hint="default" w:ascii="Times New Roman" w:hAnsi="Times New Roman" w:cs="Times New Roman" w:eastAsiaTheme="minorEastAsia"/>
          <w:b/>
          <w:bCs/>
          <w:kern w:val="0"/>
          <w:sz w:val="28"/>
          <w:szCs w:val="28"/>
          <w:highlight w:val="none"/>
          <w:lang w:eastAsia="zh-CN"/>
        </w:rPr>
        <w:t>的澄清</w:t>
      </w:r>
      <w:bookmarkEnd w:id="233"/>
      <w:r>
        <w:rPr>
          <w:rFonts w:hint="default" w:ascii="Times New Roman" w:hAnsi="Times New Roman" w:cs="Times New Roman" w:eastAsiaTheme="minorEastAsia"/>
          <w:b/>
          <w:bCs/>
          <w:kern w:val="0"/>
          <w:sz w:val="28"/>
          <w:szCs w:val="28"/>
          <w:highlight w:val="none"/>
          <w:lang w:eastAsia="zh-CN"/>
        </w:rPr>
        <w:t>和补正</w:t>
      </w:r>
      <w:bookmarkEnd w:id="234"/>
      <w:bookmarkEnd w:id="235"/>
      <w:bookmarkEnd w:id="236"/>
      <w:bookmarkEnd w:id="237"/>
      <w:bookmarkEnd w:id="238"/>
      <w:bookmarkEnd w:id="239"/>
      <w:bookmarkEnd w:id="240"/>
    </w:p>
    <w:p w14:paraId="23D047C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3.1 在</w:t>
      </w:r>
      <w:r>
        <w:rPr>
          <w:rFonts w:hint="eastAsia" w:ascii="Times New Roman" w:hAnsi="Times New Roman" w:cs="Times New Roman"/>
          <w:kern w:val="0"/>
          <w:sz w:val="24"/>
          <w:szCs w:val="24"/>
          <w:highlight w:val="none"/>
          <w:lang w:eastAsia="zh-CN"/>
        </w:rPr>
        <w:t>评审</w:t>
      </w:r>
      <w:r>
        <w:rPr>
          <w:rFonts w:hint="default"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可以书面形式要求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val="en-US" w:eastAsia="zh-CN"/>
        </w:rPr>
        <w:t>所提交响应文件中不明确的内容进行书面澄清或说明，或者对细微偏差进行补正。评审委员会不接受供应商主动提出的澄清、说明或补正。</w:t>
      </w:r>
    </w:p>
    <w:p w14:paraId="789EAA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3.2 澄清、说明</w:t>
      </w:r>
      <w:r>
        <w:rPr>
          <w:rFonts w:hint="eastAsia" w:ascii="Times New Roman" w:hAnsi="Times New Roman" w:cs="Times New Roman"/>
          <w:kern w:val="0"/>
          <w:sz w:val="24"/>
          <w:szCs w:val="24"/>
          <w:highlight w:val="none"/>
          <w:lang w:val="en-US" w:eastAsia="zh-CN"/>
        </w:rPr>
        <w:t>和</w:t>
      </w:r>
      <w:r>
        <w:rPr>
          <w:rFonts w:hint="default" w:ascii="Times New Roman" w:hAnsi="Times New Roman" w:cs="Times New Roman" w:eastAsiaTheme="minorEastAsia"/>
          <w:kern w:val="0"/>
          <w:sz w:val="24"/>
          <w:szCs w:val="24"/>
          <w:highlight w:val="none"/>
        </w:rPr>
        <w:t>补正不得</w:t>
      </w:r>
      <w:r>
        <w:rPr>
          <w:rFonts w:hint="eastAsia" w:ascii="Times New Roman" w:hAnsi="Times New Roman" w:cs="Times New Roman"/>
          <w:kern w:val="0"/>
          <w:sz w:val="24"/>
          <w:szCs w:val="24"/>
          <w:highlight w:val="none"/>
          <w:lang w:val="en-US" w:eastAsia="zh-CN"/>
        </w:rPr>
        <w:t>改变响应文件的实质性内容。供应商的书面澄清、说明和补正属于响应文件的组成部分。</w:t>
      </w:r>
    </w:p>
    <w:p w14:paraId="7CE497B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 xml:space="preserve">3.3 </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提交的澄清、说明或补正有疑问的，可以要求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进一步澄清、说明或补正，直至满足</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的要求。</w:t>
      </w:r>
    </w:p>
    <w:p w14:paraId="79C6F78F">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4 特殊情况处理</w:t>
      </w:r>
    </w:p>
    <w:p w14:paraId="447E5DF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经评审，有效供应商不足3家的，应当对响应文件是否明显缺乏竞争和是否需要否决全部响应文件进行充分论证，并在评审报告中记载论证过程和结果。并按以下情形处理：</w:t>
      </w:r>
    </w:p>
    <w:p w14:paraId="28F24E3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（1）响应文件明显缺乏竞争性的（有效供应商为2家及以下，且报价均明显高于市场价或采购人预期的），评审委员会可以否决全部响应文件。</w:t>
      </w:r>
    </w:p>
    <w:p w14:paraId="7BA260E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（2）响应文件具有竞争性的（当有效供应商为2家及以下，且报价没有明显高于市场价或采购人预期的），可以继续评审。</w:t>
      </w:r>
    </w:p>
    <w:p w14:paraId="5C0F4837">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5</w:t>
      </w:r>
      <w:r>
        <w:rPr>
          <w:rFonts w:hint="default" w:ascii="Times New Roman" w:hAnsi="Times New Roman" w:cs="Times New Roman" w:eastAsiaTheme="minorEastAsia"/>
          <w:b/>
          <w:bCs/>
          <w:kern w:val="0"/>
          <w:sz w:val="28"/>
          <w:szCs w:val="28"/>
          <w:highlight w:val="none"/>
          <w:lang w:val="en-US" w:eastAsia="zh-CN"/>
        </w:rPr>
        <w:t xml:space="preserve"> </w:t>
      </w:r>
      <w:r>
        <w:rPr>
          <w:rFonts w:hint="eastAsia" w:ascii="Times New Roman" w:hAnsi="Times New Roman" w:cs="Times New Roman" w:eastAsiaTheme="minorEastAsia"/>
          <w:b/>
          <w:bCs/>
          <w:kern w:val="0"/>
          <w:sz w:val="28"/>
          <w:szCs w:val="28"/>
          <w:highlight w:val="none"/>
          <w:lang w:val="en-US" w:eastAsia="zh-CN"/>
        </w:rPr>
        <w:t>评审</w:t>
      </w:r>
      <w:r>
        <w:rPr>
          <w:rFonts w:hint="default" w:ascii="Times New Roman" w:hAnsi="Times New Roman" w:cs="Times New Roman" w:eastAsiaTheme="minorEastAsia"/>
          <w:b/>
          <w:bCs/>
          <w:kern w:val="0"/>
          <w:sz w:val="28"/>
          <w:szCs w:val="28"/>
          <w:highlight w:val="none"/>
          <w:lang w:val="en-US" w:eastAsia="zh-CN"/>
        </w:rPr>
        <w:t>结果</w:t>
      </w:r>
    </w:p>
    <w:p w14:paraId="430706D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r>
        <w:rPr>
          <w:rFonts w:hint="default" w:ascii="Times New Roman" w:hAnsi="Times New Roman" w:cs="Times New Roman" w:eastAsiaTheme="minorEastAsia"/>
          <w:kern w:val="0"/>
          <w:sz w:val="24"/>
          <w:szCs w:val="24"/>
          <w:highlight w:val="none"/>
        </w:rPr>
        <w:t>.1 除第二章</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须知</w:t>
      </w:r>
      <w:r>
        <w:rPr>
          <w:rFonts w:hint="eastAsia" w:ascii="Times New Roman" w:hAnsi="Times New Roman" w:cs="Times New Roman"/>
          <w:kern w:val="0"/>
          <w:sz w:val="24"/>
          <w:szCs w:val="24"/>
          <w:highlight w:val="none"/>
          <w:lang w:eastAsia="zh-CN"/>
        </w:rPr>
        <w:t>”</w:t>
      </w:r>
      <w:r>
        <w:rPr>
          <w:rFonts w:hint="default" w:ascii="Times New Roman" w:hAnsi="Times New Roman" w:cs="Times New Roman" w:eastAsiaTheme="minorEastAsia"/>
          <w:kern w:val="0"/>
          <w:sz w:val="24"/>
          <w:szCs w:val="24"/>
          <w:highlight w:val="none"/>
        </w:rPr>
        <w:t>前附表授权直接确定</w:t>
      </w:r>
      <w:r>
        <w:rPr>
          <w:rFonts w:hint="eastAsia" w:ascii="Times New Roman" w:hAnsi="Times New Roman" w:cs="Times New Roman"/>
          <w:kern w:val="0"/>
          <w:sz w:val="24"/>
          <w:szCs w:val="24"/>
          <w:highlight w:val="none"/>
          <w:lang w:eastAsia="zh-CN"/>
        </w:rPr>
        <w:t>成交人</w:t>
      </w:r>
      <w:r>
        <w:rPr>
          <w:rFonts w:hint="default" w:ascii="Times New Roman" w:hAnsi="Times New Roman" w:cs="Times New Roman" w:eastAsiaTheme="minorEastAsia"/>
          <w:kern w:val="0"/>
          <w:sz w:val="24"/>
          <w:szCs w:val="24"/>
          <w:highlight w:val="none"/>
        </w:rPr>
        <w:t>外，</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按照</w:t>
      </w:r>
      <w:r>
        <w:rPr>
          <w:rFonts w:hint="eastAsia" w:ascii="Times New Roman" w:hAnsi="Times New Roman" w:cs="Times New Roman"/>
          <w:kern w:val="0"/>
          <w:sz w:val="24"/>
          <w:szCs w:val="24"/>
          <w:highlight w:val="none"/>
          <w:lang w:val="en-US" w:eastAsia="zh-CN"/>
        </w:rPr>
        <w:t>本询比文件的规定推荐成交候选人。</w:t>
      </w:r>
    </w:p>
    <w:p w14:paraId="25710EB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5.2 评审委员会完成评审后，应当向采购人提交书面评审报告。</w:t>
      </w:r>
    </w:p>
    <w:p w14:paraId="57931297">
      <w:pPr>
        <w:rPr>
          <w:rFonts w:hint="eastAsia"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6 转换采购方式评审程序</w:t>
      </w:r>
    </w:p>
    <w:p w14:paraId="7A8E9D57">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w:t>
      </w:r>
      <w:r>
        <w:rPr>
          <w:rFonts w:hint="eastAsia" w:ascii="Times New Roman" w:hAnsi="Times New Roman" w:cs="Times New Roman"/>
          <w:b/>
          <w:bCs/>
          <w:kern w:val="0"/>
          <w:sz w:val="24"/>
          <w:szCs w:val="24"/>
          <w:highlight w:val="none"/>
          <w:lang w:val="en-US" w:eastAsia="zh-CN"/>
        </w:rPr>
        <w:t>1</w:t>
      </w:r>
      <w:r>
        <w:rPr>
          <w:rFonts w:hint="eastAsia" w:ascii="Times New Roman" w:hAnsi="Times New Roman" w:cs="Times New Roman" w:eastAsiaTheme="minorEastAsia"/>
          <w:b/>
          <w:bCs/>
          <w:kern w:val="0"/>
          <w:sz w:val="24"/>
          <w:szCs w:val="24"/>
          <w:highlight w:val="none"/>
        </w:rPr>
        <w:t>参照谈判采购方式评审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适用于报名单位仅有2家的情况）</w:t>
      </w:r>
    </w:p>
    <w:p w14:paraId="1059B6D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6.1.1</w:t>
      </w:r>
      <w:r>
        <w:rPr>
          <w:rFonts w:hint="eastAsia" w:ascii="Times New Roman" w:hAnsi="Times New Roman" w:cs="Times New Roman" w:eastAsiaTheme="minorEastAsia"/>
          <w:kern w:val="0"/>
          <w:sz w:val="24"/>
          <w:szCs w:val="24"/>
          <w:highlight w:val="none"/>
        </w:rPr>
        <w:t>谈判</w:t>
      </w:r>
      <w:r>
        <w:rPr>
          <w:rFonts w:hint="eastAsia" w:ascii="Times New Roman" w:hAnsi="Times New Roman" w:cs="Times New Roman"/>
          <w:kern w:val="0"/>
          <w:sz w:val="24"/>
          <w:szCs w:val="24"/>
          <w:highlight w:val="none"/>
          <w:lang w:val="en-US" w:eastAsia="zh-CN"/>
        </w:rPr>
        <w:t>程序</w:t>
      </w:r>
    </w:p>
    <w:p w14:paraId="5CE15F1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应按照供应商递交响应文件的顺序或</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抽签确定的顺序与通过初步评审的供应商逐一进行谈判。</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可以根据谈判情况决定谈判轮次，并给予所有参加谈判的供应商平等的谈判机会。在谈判过程中，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可根据谈判情况修改和补充采购文件中的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内容，但不得改变评审标准或可能影响初步评审结果的内容。</w:t>
      </w:r>
    </w:p>
    <w:p w14:paraId="6FBB612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2）供应商的法定代表人（单位负责人）或其授权的代理人应参加谈判。供应商的法定代表人（单位负责人）或其授权的代理人在谈判中作出的承诺构成响应文件的组成部分。</w:t>
      </w:r>
    </w:p>
    <w:p w14:paraId="37C9A4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3）谈判结束后，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将要求所有参加谈判的供应商在规定时间内递交最终报价。最终报价应由供应商的法定代表人（单位负责人）或其授权的代理人签字或加盖单</w:t>
      </w:r>
      <w:r>
        <w:rPr>
          <w:rFonts w:hint="eastAsia" w:ascii="Times New Roman" w:hAnsi="Times New Roman" w:cs="Times New Roman"/>
          <w:kern w:val="0"/>
          <w:sz w:val="24"/>
          <w:szCs w:val="24"/>
          <w:highlight w:val="none"/>
          <w:lang w:eastAsia="zh-CN"/>
        </w:rPr>
        <w:t>位公</w:t>
      </w:r>
      <w:r>
        <w:rPr>
          <w:rFonts w:hint="eastAsia" w:ascii="Times New Roman" w:hAnsi="Times New Roman" w:cs="Times New Roman" w:eastAsiaTheme="minorEastAsia"/>
          <w:kern w:val="0"/>
          <w:sz w:val="24"/>
          <w:szCs w:val="24"/>
          <w:highlight w:val="none"/>
        </w:rPr>
        <w:t>章。最终报价是供应商响应文件的组成部分。</w:t>
      </w:r>
    </w:p>
    <w:p w14:paraId="6325E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6.1.2</w:t>
      </w:r>
      <w:r>
        <w:rPr>
          <w:rFonts w:hint="eastAsia" w:ascii="Times New Roman" w:hAnsi="Times New Roman" w:cs="Times New Roman" w:eastAsiaTheme="minorEastAsia"/>
          <w:kern w:val="0"/>
          <w:sz w:val="24"/>
          <w:szCs w:val="24"/>
          <w:highlight w:val="none"/>
        </w:rPr>
        <w:t>详细评审。</w:t>
      </w:r>
    </w:p>
    <w:p w14:paraId="0195E94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将按本章第</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条</w:t>
      </w:r>
      <w:r>
        <w:rPr>
          <w:rFonts w:hint="eastAsia" w:ascii="Times New Roman" w:hAnsi="Times New Roman" w:cs="Times New Roman"/>
          <w:kern w:val="0"/>
          <w:sz w:val="24"/>
          <w:szCs w:val="24"/>
          <w:highlight w:val="none"/>
          <w:lang w:val="en-US" w:eastAsia="zh-CN"/>
        </w:rPr>
        <w:t>评审程序</w:t>
      </w:r>
      <w:r>
        <w:rPr>
          <w:rFonts w:hint="eastAsia" w:ascii="Times New Roman" w:hAnsi="Times New Roman" w:cs="Times New Roman" w:eastAsiaTheme="minorEastAsia"/>
          <w:kern w:val="0"/>
          <w:sz w:val="24"/>
          <w:szCs w:val="24"/>
          <w:highlight w:val="none"/>
        </w:rPr>
        <w:t>规定对响应文件及其最终报价进行详细评审。采用综合评分法的，</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有权对本章规定的评审基准价</w:t>
      </w:r>
      <w:r>
        <w:rPr>
          <w:rFonts w:hint="eastAsia" w:ascii="Times New Roman" w:hAnsi="Times New Roman" w:cs="Times New Roman"/>
          <w:kern w:val="0"/>
          <w:sz w:val="24"/>
          <w:szCs w:val="24"/>
          <w:highlight w:val="none"/>
          <w:lang w:val="en-US" w:eastAsia="zh-CN"/>
        </w:rPr>
        <w:t>和</w:t>
      </w:r>
      <w:r>
        <w:rPr>
          <w:rFonts w:hint="eastAsia" w:ascii="Times New Roman" w:hAnsi="Times New Roman" w:cs="Times New Roman" w:eastAsiaTheme="minorEastAsia"/>
          <w:kern w:val="0"/>
          <w:sz w:val="24"/>
          <w:szCs w:val="24"/>
          <w:highlight w:val="none"/>
        </w:rPr>
        <w:t>报价评分标准进行调整，但</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应在谈判开始前向供应商公布，未公布的，视为评审基准价和报价评分标准不作调整；详细评审标准中除报价评审标准外的其他评审标准不作调整。</w:t>
      </w:r>
    </w:p>
    <w:p w14:paraId="77EDE06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通过谈判后，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认为所有供应商的最终报价不合理的，应向采购人提出终止采购建议。</w:t>
      </w:r>
    </w:p>
    <w:p w14:paraId="5102E9C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（4）编写评审报告。</w:t>
      </w:r>
    </w:p>
    <w:p w14:paraId="178320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按本章第</w:t>
      </w:r>
      <w:r>
        <w:rPr>
          <w:rFonts w:hint="eastAsia" w:ascii="Times New Roman" w:hAnsi="Times New Roman" w:cs="Times New Roman"/>
          <w:kern w:val="0"/>
          <w:sz w:val="24"/>
          <w:szCs w:val="24"/>
          <w:highlight w:val="none"/>
          <w:lang w:val="en-US" w:eastAsia="zh-CN"/>
        </w:rPr>
        <w:t>5</w:t>
      </w:r>
      <w:r>
        <w:rPr>
          <w:rFonts w:hint="eastAsia" w:ascii="Times New Roman" w:hAnsi="Times New Roman" w:cs="Times New Roman" w:eastAsiaTheme="minorEastAsia"/>
          <w:kern w:val="0"/>
          <w:sz w:val="24"/>
          <w:szCs w:val="24"/>
          <w:highlight w:val="none"/>
        </w:rPr>
        <w:t xml:space="preserve">款规定推荐候选成交供应商或按本章第 </w:t>
      </w:r>
      <w:r>
        <w:rPr>
          <w:rFonts w:hint="eastAsia" w:ascii="Times New Roman" w:hAnsi="Times New Roman" w:cs="Times New Roman"/>
          <w:kern w:val="0"/>
          <w:sz w:val="24"/>
          <w:szCs w:val="24"/>
          <w:highlight w:val="none"/>
          <w:lang w:val="en-US" w:eastAsia="zh-CN"/>
        </w:rPr>
        <w:t>6</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1</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规定提出终止采购建议，并向采购人提交书面评审报告。</w:t>
      </w:r>
    </w:p>
    <w:p w14:paraId="1A7D2B2D">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.2.参照直接采购方式评审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适用于报名单位仅有1家的情况）</w:t>
      </w:r>
    </w:p>
    <w:p w14:paraId="042E01A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协商程序</w:t>
      </w:r>
      <w:r>
        <w:rPr>
          <w:rFonts w:hint="eastAsia" w:ascii="Times New Roman" w:hAnsi="Times New Roman" w:cs="Times New Roman" w:eastAsiaTheme="minorEastAsia"/>
          <w:kern w:val="0"/>
          <w:sz w:val="24"/>
          <w:szCs w:val="24"/>
          <w:highlight w:val="none"/>
        </w:rPr>
        <w:t>。</w:t>
      </w:r>
    </w:p>
    <w:p w14:paraId="0DA823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所有成员集中与供应商进行</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，供应商的法定代表人（单位负责人）或其授权的代理人应参加</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内容，但不得改变可能影响初步评审结果的内容。供应商的法定代表人（单位负责人）或其授权的代理人在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中作出的承诺构成响应文件的组成部分。</w:t>
      </w:r>
    </w:p>
    <w:p w14:paraId="42D4C43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（2）详细评审。</w:t>
      </w:r>
    </w:p>
    <w:p w14:paraId="11C0601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kern w:val="0"/>
          <w:sz w:val="24"/>
          <w:szCs w:val="24"/>
          <w:highlight w:val="none"/>
          <w:lang w:val="en-US" w:eastAsia="zh-CN"/>
        </w:rPr>
        <w:t>可以</w:t>
      </w:r>
      <w:r>
        <w:rPr>
          <w:rFonts w:hint="eastAsia" w:ascii="Times New Roman" w:hAnsi="Times New Roman" w:cs="Times New Roman" w:eastAsiaTheme="minorEastAsia"/>
          <w:kern w:val="0"/>
          <w:sz w:val="24"/>
          <w:szCs w:val="24"/>
          <w:highlight w:val="none"/>
        </w:rPr>
        <w:t>通过对采购成本、供应能力、风险管控、采购目标等的分析，对供应商拟提供标的的技术、商务进行综合评价。</w:t>
      </w:r>
    </w:p>
    <w:p w14:paraId="67A6090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（3）编写评审报告。</w:t>
      </w:r>
    </w:p>
    <w:p w14:paraId="43D0914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根据预期的谈判目标综合谈判纪要编写</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报告，推荐候选成交供应商或提出</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终止建议。</w:t>
      </w:r>
      <w:r>
        <w:rPr>
          <w:rFonts w:hint="eastAsia" w:ascii="宋体" w:hAnsi="宋体" w:eastAsia="宋体" w:cs="宋体"/>
          <w:b w:val="0"/>
          <w:bCs w:val="0"/>
          <w:sz w:val="24"/>
          <w:szCs w:val="24"/>
          <w:highlight w:val="none"/>
        </w:rPr>
        <w:br w:type="page"/>
      </w:r>
    </w:p>
    <w:p w14:paraId="5A732D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 xml:space="preserve">第四章 </w:t>
      </w:r>
      <w:r>
        <w:rPr>
          <w:rFonts w:hint="default" w:asciiTheme="majorEastAsia" w:hAnsiTheme="majorEastAsia" w:eastAsiaTheme="majorEastAsia" w:cstheme="majorEastAsia"/>
          <w:b/>
          <w:bCs/>
          <w:sz w:val="32"/>
          <w:szCs w:val="32"/>
          <w:highlight w:val="none"/>
          <w:lang w:val="en-US" w:eastAsia="zh-CN"/>
        </w:rPr>
        <w:t>合同条款及格式</w:t>
      </w:r>
    </w:p>
    <w:p w14:paraId="2E7794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p>
    <w:p w14:paraId="3585C2F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both"/>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合同条款前附表</w:t>
      </w: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6253"/>
      </w:tblGrid>
      <w:tr w14:paraId="42D7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3E6CA67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序号</w:t>
            </w:r>
          </w:p>
        </w:tc>
        <w:tc>
          <w:tcPr>
            <w:tcW w:w="1417" w:type="dxa"/>
            <w:vAlign w:val="center"/>
          </w:tcPr>
          <w:p w14:paraId="5B6E8FE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条款名称</w:t>
            </w:r>
          </w:p>
        </w:tc>
        <w:tc>
          <w:tcPr>
            <w:tcW w:w="6253" w:type="dxa"/>
            <w:vAlign w:val="center"/>
          </w:tcPr>
          <w:p w14:paraId="27119D9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编列内容</w:t>
            </w:r>
          </w:p>
        </w:tc>
      </w:tr>
      <w:tr w14:paraId="74C9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284E064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1</w:t>
            </w:r>
          </w:p>
        </w:tc>
        <w:tc>
          <w:tcPr>
            <w:tcW w:w="1417" w:type="dxa"/>
            <w:vAlign w:val="center"/>
          </w:tcPr>
          <w:p w14:paraId="0B5CA69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付款人</w:t>
            </w:r>
          </w:p>
        </w:tc>
        <w:tc>
          <w:tcPr>
            <w:tcW w:w="6253" w:type="dxa"/>
            <w:vAlign w:val="center"/>
          </w:tcPr>
          <w:p w14:paraId="14BBD92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permStart w:id="44" w:edGrp="everyone"/>
            <w:r>
              <w:rPr>
                <w:rFonts w:hint="eastAsia" w:ascii="Times New Roman" w:hAnsi="Times New Roman" w:cs="Times New Roman"/>
                <w:kern w:val="0"/>
                <w:sz w:val="24"/>
                <w:szCs w:val="24"/>
                <w:highlight w:val="none"/>
                <w:shd w:val="clear" w:color="auto" w:fill="auto"/>
                <w:vertAlign w:val="baseline"/>
                <w:lang w:val="en-US" w:eastAsia="zh-CN"/>
              </w:rPr>
              <w:t xml:space="preserve">安徽通康建设工程有限公司  </w:t>
            </w:r>
            <w:permEnd w:id="44"/>
          </w:p>
        </w:tc>
      </w:tr>
      <w:tr w14:paraId="27DB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7D6B67D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2</w:t>
            </w:r>
          </w:p>
        </w:tc>
        <w:tc>
          <w:tcPr>
            <w:tcW w:w="1417" w:type="dxa"/>
            <w:vAlign w:val="center"/>
          </w:tcPr>
          <w:p w14:paraId="69AB605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付款方式</w:t>
            </w:r>
          </w:p>
        </w:tc>
        <w:tc>
          <w:tcPr>
            <w:tcW w:w="6253" w:type="dxa"/>
            <w:vAlign w:val="center"/>
          </w:tcPr>
          <w:p w14:paraId="7FCF02D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1.无预付款，按月进度结算。</w:t>
            </w:r>
          </w:p>
          <w:p w14:paraId="34607C5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2.当月进度完成时，采购人次月底前按上月审定合格工程量对应合同价款的70%向成交人支付进度款；</w:t>
            </w:r>
          </w:p>
          <w:p w14:paraId="7287E26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3.工程完工并经采购人验收合格后，采购人向成交人付至累计产值对应合同价款的85%；</w:t>
            </w:r>
          </w:p>
          <w:p w14:paraId="6D46CBE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4.竣工验收备案完成后，且采购人与建设单位结算完毕后30日内，采购人向成交人付至工程结算审核审定价款的97%；</w:t>
            </w:r>
          </w:p>
          <w:p w14:paraId="56BA94A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5.余款3%为质保金，质保期自工程完工并经采购人验收合格之日起2年，质保期满且无质量问题（或质量问题已解决）后无息付清余款。</w:t>
            </w:r>
          </w:p>
          <w:p w14:paraId="4B424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注：</w:t>
            </w:r>
            <w:r>
              <w:rPr>
                <w:rFonts w:hint="eastAsia" w:ascii="Times New Roman" w:hAnsi="Times New Roman" w:cs="Times New Roman"/>
                <w:kern w:val="0"/>
                <w:sz w:val="24"/>
                <w:szCs w:val="24"/>
                <w:highlight w:val="none"/>
                <w:shd w:val="clear" w:color="auto" w:fill="auto"/>
                <w:vertAlign w:val="baseline"/>
                <w:lang w:val="en-US" w:eastAsia="zh-CN"/>
              </w:rPr>
              <w:t>采购人</w:t>
            </w:r>
            <w:r>
              <w:rPr>
                <w:rFonts w:hint="default" w:ascii="Times New Roman" w:hAnsi="Times New Roman" w:cs="Times New Roman"/>
                <w:kern w:val="0"/>
                <w:sz w:val="24"/>
                <w:szCs w:val="24"/>
                <w:highlight w:val="none"/>
                <w:shd w:val="clear" w:color="auto" w:fill="auto"/>
                <w:vertAlign w:val="baseline"/>
                <w:lang w:val="en-US" w:eastAsia="zh-CN"/>
              </w:rPr>
              <w:t>付款前，</w:t>
            </w:r>
            <w:r>
              <w:rPr>
                <w:rFonts w:hint="eastAsia" w:ascii="Times New Roman" w:hAnsi="Times New Roman" w:cs="Times New Roman"/>
                <w:kern w:val="0"/>
                <w:sz w:val="24"/>
                <w:szCs w:val="24"/>
                <w:highlight w:val="none"/>
                <w:shd w:val="clear" w:color="auto" w:fill="auto"/>
                <w:vertAlign w:val="baseline"/>
                <w:lang w:val="en-US" w:eastAsia="zh-CN"/>
              </w:rPr>
              <w:t>成交人</w:t>
            </w:r>
            <w:r>
              <w:rPr>
                <w:rFonts w:hint="default" w:ascii="Times New Roman" w:hAnsi="Times New Roman" w:cs="Times New Roman"/>
                <w:kern w:val="0"/>
                <w:sz w:val="24"/>
                <w:szCs w:val="24"/>
                <w:highlight w:val="none"/>
                <w:shd w:val="clear" w:color="auto" w:fill="auto"/>
                <w:vertAlign w:val="baseline"/>
                <w:lang w:val="en-US" w:eastAsia="zh-CN"/>
              </w:rPr>
              <w:t>应按照国家税收有关规定开具等额增值税专用发票</w:t>
            </w:r>
            <w:r>
              <w:rPr>
                <w:rFonts w:hint="eastAsia" w:ascii="Times New Roman" w:hAnsi="Times New Roman" w:cs="Times New Roman"/>
                <w:kern w:val="0"/>
                <w:sz w:val="24"/>
                <w:szCs w:val="24"/>
                <w:highlight w:val="none"/>
                <w:shd w:val="clear" w:color="auto" w:fill="auto"/>
                <w:vertAlign w:val="baseline"/>
                <w:lang w:val="en-US" w:eastAsia="zh-CN"/>
              </w:rPr>
              <w:t>，否则采购人有权暂停付款。</w:t>
            </w:r>
          </w:p>
        </w:tc>
      </w:tr>
      <w:tr w14:paraId="259D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58F95DC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3</w:t>
            </w:r>
          </w:p>
        </w:tc>
        <w:tc>
          <w:tcPr>
            <w:tcW w:w="1417" w:type="dxa"/>
            <w:vAlign w:val="center"/>
          </w:tcPr>
          <w:p w14:paraId="6C618C5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主要合同</w:t>
            </w:r>
          </w:p>
          <w:p w14:paraId="533CC6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条款</w:t>
            </w:r>
          </w:p>
        </w:tc>
        <w:tc>
          <w:tcPr>
            <w:tcW w:w="6253" w:type="dxa"/>
            <w:vAlign w:val="center"/>
          </w:tcPr>
          <w:p w14:paraId="1D7F2D2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1、成交人提供的材料，应符合国家、地方或行业现行标准及采购人要求，并随货提供出厂合格证、检测报告单、产品质量保证书、货运清单等相关资料。</w:t>
            </w:r>
          </w:p>
          <w:p w14:paraId="2A77337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2、合同生效后，如成交人拒不履行本合同义务，需向采购人支付成交价款的10％作为违约金，并赔偿采购人因此遭受的实际损失，且履约保证金不予退还，不足部分，采购人可另行主张，且采购人有权终止合同。</w:t>
            </w:r>
          </w:p>
          <w:p w14:paraId="7A6FA94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3、由于建设单位未支付工程款等原因导致工程款未及时发放，成交人不得擅自采取停工、上访等措施，否则由此造成的采购人工期延误、名誉受损、增加管理人员等一切经济损失、法律责任由成交人承担。如采购人出现资金困难或业主未及时支付工程款，成交人同意给予1个月的付款宽限期，在此宽限期间内不视为采购人违约，且成交人不得以此为由中断本项目的货物供应。</w:t>
            </w:r>
          </w:p>
          <w:p w14:paraId="521F607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4、具体工程量以实际完成合格工程量为准，据实结算，采购人有权对部分工程量进行增减，成交人需无条件服从，采购人不承担任何责任。</w:t>
            </w:r>
          </w:p>
        </w:tc>
      </w:tr>
    </w:tbl>
    <w:p w14:paraId="1A10AD3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说明：合同具体条款</w:t>
      </w:r>
      <w:r>
        <w:rPr>
          <w:rFonts w:hint="default" w:ascii="Times New Roman" w:hAnsi="Times New Roman" w:cs="Times New Roman"/>
          <w:kern w:val="0"/>
          <w:sz w:val="24"/>
          <w:szCs w:val="24"/>
          <w:highlight w:val="none"/>
          <w:shd w:val="clear" w:color="auto" w:fill="auto"/>
          <w:vertAlign w:val="baseline"/>
          <w:lang w:val="en-US" w:eastAsia="zh-CN"/>
        </w:rPr>
        <w:t>由</w:t>
      </w:r>
      <w:r>
        <w:rPr>
          <w:rFonts w:hint="eastAsia" w:ascii="Times New Roman" w:hAnsi="Times New Roman" w:cs="Times New Roman"/>
          <w:kern w:val="0"/>
          <w:sz w:val="24"/>
          <w:szCs w:val="24"/>
          <w:highlight w:val="none"/>
          <w:shd w:val="clear" w:color="auto" w:fill="auto"/>
          <w:vertAlign w:val="baseline"/>
          <w:lang w:val="en-US" w:eastAsia="zh-CN"/>
        </w:rPr>
        <w:t>采购人在成交人</w:t>
      </w:r>
      <w:r>
        <w:rPr>
          <w:rFonts w:hint="default" w:ascii="Times New Roman" w:hAnsi="Times New Roman" w:cs="Times New Roman"/>
          <w:kern w:val="0"/>
          <w:sz w:val="24"/>
          <w:szCs w:val="24"/>
          <w:highlight w:val="none"/>
          <w:shd w:val="clear" w:color="auto" w:fill="auto"/>
          <w:vertAlign w:val="baseline"/>
          <w:lang w:val="en-US" w:eastAsia="zh-CN"/>
        </w:rPr>
        <w:t>在不违背</w:t>
      </w:r>
      <w:r>
        <w:rPr>
          <w:rFonts w:hint="eastAsia" w:ascii="Times New Roman" w:hAnsi="Times New Roman" w:cs="Times New Roman"/>
          <w:kern w:val="0"/>
          <w:sz w:val="24"/>
          <w:szCs w:val="24"/>
          <w:highlight w:val="none"/>
          <w:shd w:val="clear" w:color="auto" w:fill="auto"/>
          <w:vertAlign w:val="baseline"/>
          <w:lang w:val="en-US" w:eastAsia="zh-CN"/>
        </w:rPr>
        <w:t>询比文件</w:t>
      </w:r>
      <w:r>
        <w:rPr>
          <w:rFonts w:hint="default" w:ascii="Times New Roman" w:hAnsi="Times New Roman" w:cs="Times New Roman"/>
          <w:kern w:val="0"/>
          <w:sz w:val="24"/>
          <w:szCs w:val="24"/>
          <w:highlight w:val="none"/>
          <w:shd w:val="clear" w:color="auto" w:fill="auto"/>
          <w:vertAlign w:val="baseline"/>
          <w:lang w:val="en-US" w:eastAsia="zh-CN"/>
        </w:rPr>
        <w:t>内容和</w:t>
      </w:r>
      <w:r>
        <w:rPr>
          <w:rFonts w:hint="eastAsia" w:ascii="Times New Roman" w:hAnsi="Times New Roman" w:cs="Times New Roman"/>
          <w:kern w:val="0"/>
          <w:sz w:val="24"/>
          <w:szCs w:val="24"/>
          <w:highlight w:val="none"/>
          <w:shd w:val="clear" w:color="auto" w:fill="auto"/>
          <w:vertAlign w:val="baseline"/>
          <w:lang w:val="en-US" w:eastAsia="zh-CN"/>
        </w:rPr>
        <w:t>响应文件</w:t>
      </w:r>
      <w:r>
        <w:rPr>
          <w:rFonts w:hint="default" w:ascii="Times New Roman" w:hAnsi="Times New Roman" w:cs="Times New Roman"/>
          <w:kern w:val="0"/>
          <w:sz w:val="24"/>
          <w:szCs w:val="24"/>
          <w:highlight w:val="none"/>
          <w:shd w:val="clear" w:color="auto" w:fill="auto"/>
          <w:vertAlign w:val="baseline"/>
          <w:lang w:val="en-US" w:eastAsia="zh-CN"/>
        </w:rPr>
        <w:t>承诺的条件下友好协商签订。</w:t>
      </w:r>
    </w:p>
    <w:p w14:paraId="35D308CA">
      <w:pP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br w:type="page"/>
      </w:r>
    </w:p>
    <w:bookmarkEnd w:id="217"/>
    <w:bookmarkEnd w:id="218"/>
    <w:bookmarkEnd w:id="219"/>
    <w:bookmarkEnd w:id="220"/>
    <w:bookmarkEnd w:id="221"/>
    <w:bookmarkEnd w:id="222"/>
    <w:bookmarkEnd w:id="223"/>
    <w:bookmarkEnd w:id="224"/>
    <w:p w14:paraId="28B710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第五章 采购需求</w:t>
      </w:r>
    </w:p>
    <w:p w14:paraId="18BF197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采购人要求</w:t>
      </w:r>
    </w:p>
    <w:p w14:paraId="392D181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本项目采用包工、包料、包相关材料检测、包工具、包工期、包质量、包安全、包文明施工、包税金、包风险、包通过相关部门验收并出具验收合格意见书等一切工程内容及相关工作内容，准备工作包括相关资料的准备，包括人员、主材、机械准备等。</w:t>
      </w:r>
    </w:p>
    <w:p w14:paraId="27B3159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2、因场地有限，采购人不提供工人生活区，由成交人自行解决，综合考虑在响应报价内。</w:t>
      </w:r>
    </w:p>
    <w:p w14:paraId="12AC288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3、施工过程中不得干扰附近居民的生产、生活，与地方发生的任何纠纷，成交人自行解决，给采购人造成的任何损失，采购人将追究成交人相关责任。</w:t>
      </w:r>
    </w:p>
    <w:p w14:paraId="16BC033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4、成交人必须按相关规定为进场施工人员、管理人员办理人身意外伤害险，办理本款保险的一切费用均由成交人承担，不单独计量；供应商进场后一个月内需将该保险保单提交采购人核查与备案，否则采购人将为其代为办理保险，发生费用直接从成交人应得工程款中扣除。</w:t>
      </w:r>
    </w:p>
    <w:p w14:paraId="4863C86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5、因建设单位原因出现停工、停建、变更等情况造成承包范围增减，采购人不承担任何责任。</w:t>
      </w:r>
    </w:p>
    <w:p w14:paraId="0097B33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 xml:space="preserve">6、采购人有权对供应商施工范围、数量增减做出调整，已完成的工程量及施工范围据实结算，采购人对此不承担任何责任。   </w:t>
      </w:r>
    </w:p>
    <w:p w14:paraId="3C9F34F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7、成交人必须负责所在施工区域的文明施工及安全保护措施（施工范围内日常清理及各种检查的文明清理，场内场外运输，所在施工区域内的文明施工及安全保护措施等都在采购范围之内，直至工程竣工验收移交前的所有文明施工）。</w:t>
      </w:r>
    </w:p>
    <w:p w14:paraId="26599A4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8、项目在实施过程中采购人会不定期对项目安全文明施工进行评审、验收，供应商对施工过程中存在问题进行整改，拒不整改的，由采购人委派人员进行整改，由此产生的费用从供应商应得工程款中扣除（若建设单位提高创优标准，则按照建设单位要求执行）。</w:t>
      </w:r>
    </w:p>
    <w:p w14:paraId="5A90A33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9、施工期间成交人每月须提供不少于15个零星用工，主要配合采购人迎检、创标、安全文明，成交人要对地库提供不少于1次全面清理保洁。</w:t>
      </w:r>
    </w:p>
    <w:p w14:paraId="289AC28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10、本项目供应商在成交后，需要对设计院提供的初步设计图纸进行深化设计，深化设计方案需经原设计单位、建设单位确认，以满足工程实施的要求。深化设计不单独计算费用，包含在综合单价中。</w:t>
      </w:r>
    </w:p>
    <w:p w14:paraId="1B461D3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p>
    <w:p w14:paraId="0A0BD60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11、工程量清单</w:t>
      </w:r>
    </w:p>
    <w:p w14:paraId="0296132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p>
    <w:tbl>
      <w:tblPr>
        <w:tblStyle w:val="16"/>
        <w:tblW w:w="9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176"/>
        <w:gridCol w:w="4561"/>
        <w:gridCol w:w="1159"/>
        <w:gridCol w:w="1072"/>
        <w:gridCol w:w="894"/>
      </w:tblGrid>
      <w:tr w14:paraId="766A1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blHeader/>
          <w:jc w:val="center"/>
        </w:trPr>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947BB8">
            <w:pPr>
              <w:keepNext w:val="0"/>
              <w:keepLines w:val="0"/>
              <w:widowControl/>
              <w:suppressLineNumbers w:val="0"/>
              <w:snapToGrid w:val="0"/>
              <w:ind w:left="0" w:leftChars="0" w:right="0" w:rightChars="0" w:firstLine="0" w:firstLineChars="0"/>
              <w:jc w:val="center"/>
              <w:textAlignment w:val="center"/>
              <w:rPr>
                <w:rFonts w:ascii="黑体" w:hAnsi="宋体" w:eastAsia="黑体" w:cs="黑体"/>
                <w:b/>
                <w:i w:val="0"/>
                <w:iCs w:val="0"/>
                <w:color w:val="000000"/>
                <w:sz w:val="18"/>
                <w:szCs w:val="18"/>
                <w:u w:val="none"/>
              </w:rPr>
            </w:pPr>
            <w:r>
              <w:rPr>
                <w:rFonts w:hint="eastAsia" w:ascii="黑体" w:hAnsi="宋体" w:eastAsia="黑体" w:cs="黑体"/>
                <w:b/>
                <w:i w:val="0"/>
                <w:iCs w:val="0"/>
                <w:color w:val="000000"/>
                <w:kern w:val="0"/>
                <w:sz w:val="18"/>
                <w:szCs w:val="18"/>
                <w:u w:val="none"/>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E224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sz w:val="18"/>
                <w:szCs w:val="18"/>
                <w:u w:val="none"/>
              </w:rPr>
            </w:pPr>
            <w:r>
              <w:rPr>
                <w:rFonts w:hint="eastAsia" w:ascii="黑体" w:hAnsi="宋体" w:eastAsia="黑体" w:cs="黑体"/>
                <w:b/>
                <w:i w:val="0"/>
                <w:iCs w:val="0"/>
                <w:color w:val="000000"/>
                <w:kern w:val="0"/>
                <w:sz w:val="18"/>
                <w:szCs w:val="18"/>
                <w:u w:val="none"/>
                <w:lang w:val="en-US" w:eastAsia="zh-CN" w:bidi="ar"/>
              </w:rPr>
              <w:t>项目名称</w:t>
            </w:r>
          </w:p>
        </w:tc>
        <w:tc>
          <w:tcPr>
            <w:tcW w:w="45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7991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sz w:val="18"/>
                <w:szCs w:val="18"/>
                <w:u w:val="none"/>
              </w:rPr>
            </w:pPr>
            <w:r>
              <w:rPr>
                <w:rFonts w:hint="eastAsia" w:ascii="黑体" w:hAnsi="宋体" w:eastAsia="黑体" w:cs="黑体"/>
                <w:b/>
                <w:i w:val="0"/>
                <w:iCs w:val="0"/>
                <w:color w:val="000000"/>
                <w:kern w:val="0"/>
                <w:sz w:val="18"/>
                <w:szCs w:val="18"/>
                <w:u w:val="none"/>
                <w:lang w:val="en-US" w:eastAsia="zh-CN" w:bidi="ar"/>
              </w:rPr>
              <w:t>项目特征描述</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1123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sz w:val="18"/>
                <w:szCs w:val="18"/>
                <w:u w:val="none"/>
              </w:rPr>
            </w:pPr>
            <w:r>
              <w:rPr>
                <w:rFonts w:hint="eastAsia" w:ascii="黑体" w:hAnsi="宋体" w:eastAsia="黑体" w:cs="黑体"/>
                <w:b/>
                <w:i w:val="0"/>
                <w:iCs w:val="0"/>
                <w:color w:val="000000"/>
                <w:kern w:val="0"/>
                <w:sz w:val="18"/>
                <w:szCs w:val="18"/>
                <w:u w:val="none"/>
                <w:lang w:val="en-US" w:eastAsia="zh-CN" w:bidi="ar"/>
              </w:rPr>
              <w:t>计量单位</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17E7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sz w:val="18"/>
                <w:szCs w:val="18"/>
                <w:u w:val="none"/>
              </w:rPr>
            </w:pPr>
            <w:r>
              <w:rPr>
                <w:rFonts w:hint="eastAsia" w:ascii="黑体" w:hAnsi="宋体" w:eastAsia="黑体" w:cs="黑体"/>
                <w:b/>
                <w:i w:val="0"/>
                <w:iCs w:val="0"/>
                <w:color w:val="000000"/>
                <w:kern w:val="0"/>
                <w:sz w:val="18"/>
                <w:szCs w:val="18"/>
                <w:u w:val="none"/>
                <w:lang w:val="en-US" w:eastAsia="zh-CN" w:bidi="ar"/>
              </w:rPr>
              <w:t>工程量</w:t>
            </w: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D7BCC">
            <w:pPr>
              <w:keepNext w:val="0"/>
              <w:keepLines w:val="0"/>
              <w:widowControl/>
              <w:suppressLineNumbers w:val="0"/>
              <w:snapToGrid w:val="0"/>
              <w:ind w:left="0" w:leftChars="0" w:right="0" w:rightChars="0" w:firstLine="0" w:firstLineChars="0"/>
              <w:jc w:val="center"/>
              <w:textAlignment w:val="center"/>
              <w:rPr>
                <w:rFonts w:hint="default" w:ascii="黑体" w:hAnsi="宋体" w:eastAsia="黑体" w:cs="黑体"/>
                <w:b/>
                <w:i w:val="0"/>
                <w:iCs w:val="0"/>
                <w:color w:val="000000"/>
                <w:kern w:val="0"/>
                <w:sz w:val="18"/>
                <w:szCs w:val="18"/>
                <w:u w:val="none"/>
                <w:lang w:val="en-US" w:eastAsia="zh-CN" w:bidi="ar"/>
              </w:rPr>
            </w:pPr>
            <w:r>
              <w:rPr>
                <w:rFonts w:hint="eastAsia" w:ascii="黑体" w:hAnsi="宋体" w:eastAsia="黑体" w:cs="黑体"/>
                <w:b/>
                <w:i w:val="0"/>
                <w:iCs w:val="0"/>
                <w:color w:val="000000"/>
                <w:kern w:val="0"/>
                <w:sz w:val="18"/>
                <w:szCs w:val="18"/>
                <w:u w:val="none"/>
                <w:lang w:val="en-US" w:eastAsia="zh-CN" w:bidi="ar"/>
              </w:rPr>
              <w:t>备注</w:t>
            </w:r>
          </w:p>
        </w:tc>
      </w:tr>
      <w:tr w14:paraId="797B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8CA4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62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标志板</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399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1．人防工程牌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2．规格尺寸：950*2500，950×400双面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3．柱式标杆预埋安装，柱式标杆材质选为镀锌钢管</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06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E8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A82A">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873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2A1E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DC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476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1．人防工程贴牌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2．材料种类、规格：700×450×2mm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3．安装、固定方式：2mm铝板+3M工程级7年橙色反光膜</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07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D5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4DC7">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7FEB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7F3F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DD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851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1．人防管理制度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2．材料种类、规格：800×600×5mm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6E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D6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3FC7">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EDA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51ED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75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9BC6">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1．人防平面示意图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2．材料种类、规格：1300×800×5mm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1F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A1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3410">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1DB1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4492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D9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E7B5">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1．人防管理制度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2．材料种类、规格：800×600×5mm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7E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6D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B538">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22D9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004D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FF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CD0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1．人防使用须知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2．材料种类、规格：800×600×5mm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1C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25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5B05">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3F5F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7D97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19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A355">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1．人员掩蔽工程导引牌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2．材料种类、规格：540×800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C3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96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EB95">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5AF4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030C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74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2DE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1．悬挂式车位标识牌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2．材料种类、规格：350*190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3．安装、固定方式：厚度10MM亚克力UV打印+吊线安装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4．环形瓜子链悬挂安装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8A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CA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2641">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1520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C71C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48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892D">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1．战时主要出入口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3D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CE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EFD6">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7F93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2A04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3F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DC8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1．战时次要出入口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BF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9F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7D93">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7ECE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D326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EA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AD0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1．电梯间（悬挂双面）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2．材料种类、规格：1000*400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3．安装、固定方式：2MM不锈刚折边彩喷+吊链安装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4E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01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D43D">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5004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17D6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48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BFB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1．楼梯间（悬挂双面）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2．材料种类、规格：1000*400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3．安装、固定方式：2MM不锈刚折边彩喷+吊链安装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CB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CF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DA52">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142D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E686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67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4C5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1．战时主要出入口（悬挂双面）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2．材料种类、规格：1000*400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3．安装、固定方式：2MM不锈刚折边彩喷+吊链安装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F5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02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0740">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0446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880B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C0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819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1．战时次要出入口（悬挂双面）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2．材料种类、规格：1000*400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3．安装、固定方式：2MM不锈刚折边彩喷+吊链安装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DD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02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6AE8">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160E9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7059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17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1D51">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1．通风方式 二维码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2．材料种类、规格：150*150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3．安装、固定方式：厚度5MM亚克力UV打印+打胶安装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A4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AC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B867">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3844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D0B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91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848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1．洗消间 二维码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2．材料种类、规格：150*150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3．安装、固定方式：厚度5MM亚克力UV打印+打胶安装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2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23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C149">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38AC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8E28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18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784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1．扩散室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00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BD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6C5F">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36B2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E974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0B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EB7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1．集气室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BC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48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9041">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6A4AD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75C3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2D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567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1．滤毒室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1B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12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0874">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15D1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3CB8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DA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F1C6">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1．简易洗消间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79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74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56FF">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1FF7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5B5C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95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CD2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1．电梯间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E0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EE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8CCA">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5BD6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B2B2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DE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004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1．楼梯间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2D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65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DCB8">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66CF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524C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E4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EDE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1．防毒通道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A0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41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9A20">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099F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D525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82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14D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1．密闭通道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36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F5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8096">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0F7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554A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5F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98A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1．防化通信值班室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48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24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BD40">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6CC0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9E25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A2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3A0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1．防化值班室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A1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3A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C4A2">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191A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6EEE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97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323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1．防化器材室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85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5B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4C26">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7750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4270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49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8A0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1．战时进风机房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4F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63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2BA5">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6F6B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29BE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5C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C639">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1．战时排风机房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0B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35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2D79">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6CC7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CD5C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3F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39A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1．平时排风排烟机房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2C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98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A1A8">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006F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4343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17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AB0DF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8CCC05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1．平时进风机房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F0937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5E9A9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w:t>
            </w:r>
          </w:p>
        </w:tc>
        <w:tc>
          <w:tcPr>
            <w:tcW w:w="89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C77992D">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57C2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C60A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F4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82FD">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1．战时水箱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5F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E1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3528">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1B25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9837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BA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B43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1．战时男干厕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01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2B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6559">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187A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7A71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7A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8336">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1．战时女干厕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78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81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1F1A">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6988F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BD38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7F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5CAD">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1．配电间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CE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21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6761">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360E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614A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F3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30F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1．储油间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F7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AB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7A69">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11DB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6134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53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55C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1．战时封堵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67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F2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388A">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3A4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FB7C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C8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1C2F">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1．单元连通口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62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CB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8DA0">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13A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5FD8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86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440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1．干厕平战转换措施示意牌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2．材料种类、规格：1200*800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C8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DA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3563">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0DE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1135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2C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089D">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1．水箱平战转换措施示意牌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2．材料种类、规格：1200*800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8D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2C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0413">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2733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DE0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36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0C5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1．人防车位（库）不得出售、附赠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2．材料种类、规格：450*700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69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AB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0EDA">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77B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8437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C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39F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1．管理规定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2．材料种类、规格：1200*800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1C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6A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48F3">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2BC4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9B3D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17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EED0D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C5FF42F">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1．防护通风方式牌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A9C89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8E021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8.000</w:t>
            </w:r>
          </w:p>
        </w:tc>
        <w:tc>
          <w:tcPr>
            <w:tcW w:w="89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CE74290">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5915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6991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D0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F57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1．地面湿滑 小心滑倒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EC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5D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9A90">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31BD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F0EC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04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F5B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1．人防工程 严禁破坏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FF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69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3019">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5701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1775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73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55C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1．注意管线 小心碰头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88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88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3DAF">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61FE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7883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17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C3014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641FF8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1．内部空间 严禁吸烟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2．材料种类、规格：500*170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3．安装、固定方式：厚度5MM亚克力UV打印+广告钉安装</w:t>
            </w:r>
          </w:p>
        </w:tc>
        <w:tc>
          <w:tcPr>
            <w:tcW w:w="115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E6151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6948B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8.000</w:t>
            </w:r>
          </w:p>
        </w:tc>
        <w:tc>
          <w:tcPr>
            <w:tcW w:w="89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EDD82CC">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7218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7EE6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C5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标线</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7B7D">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1．各类指向箭头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2．长3000mm，具体规格详见大样图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3．材料品种：冷涂划线漆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4．工艺：按GB5768-2009 或交管局的相关规范标准要求进行施工</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2B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51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7425">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0062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FE0C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9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标线</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695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1．单元口地面指示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2．5200*4200，具体规格根据现场尺寸做适当调整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3．材料品种：环氧划线漆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4．工艺：按GB5768-2009 或交管局的相关规范标准要求进行施工</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62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94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58CB">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70539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20E7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EF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标线</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1E4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1．禁停网格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2．5000*5000 mm，线宽150mm；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3．材料品种：冷涂划线漆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4．工艺：按GB5768-2009 或交管局的相关规范标准要求进行施工</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AE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44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F2A2">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580E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F5C2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44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标线</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4586">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1．行车道边缘线、行车道中心线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2．白色线宽150mm；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3．材料品种：冷涂划线漆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4．工艺：按GB5768-2009 或交管局的相关规范标准要求进行施工</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A6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63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6603.370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FD42">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0BF1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1"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5ABC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0A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标线</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3DC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1．充电图案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2．800*800mm 详见图纸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3．材料品种：外墙防霉乳胶漆；颜色按图纸或业主指定色卡调色。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4．工艺：按GB5768-2009 或交管局的相关规范标准要求进行施工</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DA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4F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807.000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2143">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6B402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3337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5E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标线</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157D">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1．车位编号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2．H=250mm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3．材料品种：冷涂划线漆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4．工艺：按GB5768-2009 或交管局的相关规范标准要求进行施工</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35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00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2690.000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2CF4">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10A9E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7644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D6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标线</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570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1．人防区车位编号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2．H=230mm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3．材料品种：常温冷漆标线</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BE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90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71E1">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6A90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64AD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86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标线</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6C8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1．无障碍车位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2．单个标准车位长5500mm,宽3700mm，线宽：150mm；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3．材料品种：冷涂划线漆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4．工艺：按GB5768-2009 或交管局的相关规范标准要求进行施工</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2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1C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8726">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3CAF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61FD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15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标线</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73B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1．标准车位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2．单个标准车位长5300mm,宽2400mm，线宽：150mm；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3．材料品种：冷涂划线漆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4．工艺：按GB5768-2009 或交管局的相关规范标准要求进行施工</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C2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D1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2672.000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0011">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32D1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9CC1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A7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减速垄</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452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1．材质：高密度优质橡胶黄黑色，包含圆头，颜色图案与实物可能有差异，以实物为准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2．规格、型号：1000mm*350mm*35mm（每段）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3．按GB5768-2009 或交管局的相关规范标准要求进行施工</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92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64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98C0">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0B390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4"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9211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97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橡胶定位器</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E70D">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1．橡胶定位器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2．材料品种：优质橡胶黄黑色，颜色图案与实物可能有差异，以实物为准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3．规格、型号：500*150*100mm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4．按GB5768-2009 或交管局的相关规范标准要求进行施工</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E9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AB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2690.000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2435">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6BD9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CF9C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26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广角镜</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43E5">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1．广角镜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2．材料品种：PVC 一次性合成，专用支架与膨胀螺丝安装固定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3．规格、型号：圆形直径 800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4．按GB5768-2009 或交管局的相关规范标准要求进行施工</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38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4A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2F72">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61404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D78E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30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反光护角板</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D5B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1．反光护角板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2．材料品种：天然橡胶，贴高级反光膜，护角下边沿与踢脚线上沿齐平（离地 150mm ），安装在行车通道两侧柱子四角或其他与车辆会发生摩擦的突出部位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3．规格、型号：100*100*800*6mm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4．按GB5768-2009 或交管局的相关规范标准要求进行施工</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AF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20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5183.000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3FCC">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7718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9D17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26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停车管理牌</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C99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1．类型：停车管理牌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2．材质：1.2MM铝板蓝色底膜，内容白色反光膜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3．规格尺寸：1200*800mm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4．按GB5768-2009 或交管局的相关规范标准要求进行施工</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83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2F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3EA1">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5ADC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9B2B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17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9A5A6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视线诱导器</w:t>
            </w:r>
          </w:p>
        </w:tc>
        <w:tc>
          <w:tcPr>
            <w:tcW w:w="456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4B2D8B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1．反光道钉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2．类型：100*100*20高强反光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3．材料品种：塑料加高反光晶格片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4．按GB5768-2009 或交管局的相关规范标准要求进行施工</w:t>
            </w:r>
          </w:p>
        </w:tc>
        <w:tc>
          <w:tcPr>
            <w:tcW w:w="115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960E5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7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44B07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148.000</w:t>
            </w:r>
          </w:p>
        </w:tc>
        <w:tc>
          <w:tcPr>
            <w:tcW w:w="89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534AFC6">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1C43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8"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8953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A9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彩色涂料</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04C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1．涂料品种、喷刷遍数：外墙防霉乳胶漆；颜色按图纸或业主指定色卡调色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2．部位：单元墙面、美化柱面及坡道墙面彩色涂料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3．含图案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4．备注：高度1.2m详见图纸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6D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96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1246.990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0A64">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84F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0C30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0D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彩色涂料</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F06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1．涂料品种、喷刷遍数：外墙防霉乳胶漆；颜色按图纸或业主指定色卡调色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2．部位：人防区墙面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3．含图案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4．备注：高度0.9m详见图纸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94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DC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2049.510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F770">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296E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D7CC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EB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彩色涂料</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0A9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1．涂料品种、喷刷遍数：外墙防霉乳胶漆；颜色按图纸或业主指定色卡调色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2．部位：踢脚线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3．备注：H=150mm；</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37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40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1737.910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8EB4">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0B3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2EE1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F1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57B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1．车位牌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2．材料种类、规格：1.5mm亚克力板模具冲压插槽，表面烤漆450*225mm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3．安装、固定方式：环形瓜子链悬挂安装；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FE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A9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70F7">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143C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ECC3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02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信号灯箱</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AF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1．地库入口龙门架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2．规格、型号：7000*600mm</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38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8F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B725">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2B12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5DB3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79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信号灯箱</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B69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1．地库车库吊顶指示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2．规格、型号：2000*260mm</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BE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8E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8EF1">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789A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C259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84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信号灯箱</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434D">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1．地库单元牌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2．规格、型号：800*260mm</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AB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60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03B6">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9BB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0DCD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B1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1EE9">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1．项目总平图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2．类型：1.5mm201#不锈钢激光切割面板，拉丝香槟金色，内容烤漆丝印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3．规格、型号：1400*1700*100mm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4．固定方式：预埋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5．含基础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E5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5E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558A">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7294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9"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D4F7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E5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1E9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1．户外宣传栏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2．类型：2mm厚铝合金板，5mm厚pvc耐力板内置5mm发泡板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3．规格、型号：5850*2700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4．固定方式：预埋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5．含基础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8F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B9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CD4B">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2E08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F6A9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16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EEDF">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1．多功能指示牌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2．类型：热镀锌钢管，1.2mm厚镀锌板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3．规格、型号：100*2500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4．固定方式：预埋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5．含基础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54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CF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DC7D">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324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295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81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6BC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1．地下车库指示牌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2．类型：热镀锌钢管，1.2mm厚镀锌板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3．规格、型号：100*2500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4．固定方式：预埋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5．含基础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ED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F7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3715">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045F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3044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3D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AC25">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1．非机动车库指示牌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2．类型：热镀锌钢管，1.2mm厚镀锌板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3．规格、型号：100*2500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4．固定方式：预埋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5．含基础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F7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EC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FC7C">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2DEA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C7E3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BE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27E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1．楼栋牌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2．类型：1.2mm不锈钢烤漆，90cm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3．规格、型号：1150*1200*70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4．固定方式：贴墙</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98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E4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4B81">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33A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5E3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34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22D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1．门户牌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2．类型：亚克力(香槟金)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3．规格、型号：200*5.78*5mm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4．固定方式：贴墙</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EC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05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CF25">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12A4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BA6F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3E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CC9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1．步梯电梯楼层牌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2．类型：喷绘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3．规格、型号：250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4．固定方式：喷绘</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4E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BD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844.000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DF15">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7F53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FAE0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70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676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1．竣工牌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2．类型：1.5mm201#不锈钢激光切割、折弯、焊接成型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3．规格、型号：750*550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7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EC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B10B">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11C76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D945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6A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AB5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1．亚克力牌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2．类型：监控室、水泵房操作规程牌子十个规格800*600，亚克力，内容待定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3．规格、型号：800*600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4．固定方式：贴墙</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32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45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A6C0">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1816E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6CCA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BE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4D9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1．单元公示栏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2．类型：1.5mm不锈钢切割焊接成型，表面汽车烤漆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3．规格、型号：1150*600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4．固定方式：贴墙</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0B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31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8427">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65FE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ADF8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E9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D8A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1．乘梯须知牌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2．类型：5mm亚克力激光雕刻成型，表面汽车烤漆，信息内容丝网印刷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3．规格、型号：200*360*5mm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4．固定方式：贴墙</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A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A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0F49">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5E5F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AFD9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64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ECA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1．消防疏散图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2．类型：5mm亚克力激光雕刻成型，表面汽车烤漆，信息内容丝网印刷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3．规格、型号：420*300*5mm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4．固定方式：贴墙</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A3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72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2953">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68E4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82A0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3A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CD8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1．卫生间指示牌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2．类型：亚克力材质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3．规格、型号：28*8.2cm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4．固定方式：贴墙</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32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52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C6FB">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39E5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508F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CE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023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1．设备间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2．类型：uv转印贴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3．规格、型号：13.5cm*4cm</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3D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72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2207.000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CDF9">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22F4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66B5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17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6F8B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F857E2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1．商铺楼栋牌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2．类型：1.2mm不锈钢烤漆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3．规格、型号：650*700*30</w:t>
            </w:r>
          </w:p>
        </w:tc>
        <w:tc>
          <w:tcPr>
            <w:tcW w:w="115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97BD2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674BE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8.000</w:t>
            </w:r>
          </w:p>
        </w:tc>
        <w:tc>
          <w:tcPr>
            <w:tcW w:w="89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85625F3">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0D67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CFA6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F3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0F1D">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1．物业管理设备牌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2．类型：uv转印贴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3．规格、型号：260*100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A2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87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196.000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4C01">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450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58EA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4C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标识标牌安装</w:t>
            </w:r>
          </w:p>
        </w:tc>
        <w:tc>
          <w:tcPr>
            <w:tcW w:w="4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1FE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1．物业管理提示牌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2．类型：uv转印贴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3．规格、型号：260*100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7E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64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5BDE">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6E12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9440" w:type="dxa"/>
            <w:gridSpan w:val="6"/>
            <w:tcBorders>
              <w:top w:val="nil"/>
              <w:left w:val="single" w:color="000000" w:sz="4" w:space="0"/>
              <w:bottom w:val="single" w:color="000000" w:sz="4" w:space="0"/>
              <w:right w:val="single" w:color="000000" w:sz="4" w:space="0"/>
            </w:tcBorders>
            <w:shd w:val="clear" w:color="auto" w:fill="auto"/>
            <w:noWrap/>
            <w:vAlign w:val="center"/>
          </w:tcPr>
          <w:p w14:paraId="3C7AB01D">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注：</w:t>
            </w:r>
          </w:p>
          <w:p w14:paraId="1F6623B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1、未尽事宜具体详见图纸、图集、答疑、采购文件、政府相关文件、规范等其他资料，满足验收要求；</w:t>
            </w:r>
          </w:p>
          <w:p w14:paraId="42D6B4C3">
            <w:pPr>
              <w:keepNext w:val="0"/>
              <w:keepLines w:val="0"/>
              <w:widowControl/>
              <w:suppressLineNumbers w:val="0"/>
              <w:snapToGrid w:val="0"/>
              <w:ind w:left="0" w:leftChars="0" w:right="0" w:rightChars="0" w:firstLine="0" w:firstLine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2、本表仅作为供应商报价参考依据，最终以建设单位提供的标识标线工程专业分包清单为准。</w:t>
            </w:r>
          </w:p>
        </w:tc>
      </w:tr>
    </w:tbl>
    <w:p w14:paraId="10545BF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AB198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r>
        <w:rPr>
          <w:rFonts w:hint="default" w:ascii="Times New Roman" w:hAnsi="Times New Roman" w:cs="Times New Roman" w:eastAsiaTheme="majorEastAsia"/>
          <w:b/>
          <w:bCs/>
          <w:sz w:val="32"/>
          <w:szCs w:val="32"/>
          <w:highlight w:val="none"/>
          <w:lang w:val="en-US" w:eastAsia="zh-CN"/>
        </w:rPr>
        <w:t>第</w:t>
      </w:r>
      <w:r>
        <w:rPr>
          <w:rFonts w:hint="eastAsia" w:ascii="Times New Roman" w:hAnsi="Times New Roman" w:cs="Times New Roman" w:eastAsiaTheme="majorEastAsia"/>
          <w:b/>
          <w:bCs/>
          <w:sz w:val="32"/>
          <w:szCs w:val="32"/>
          <w:highlight w:val="none"/>
          <w:lang w:val="en-US" w:eastAsia="zh-CN"/>
        </w:rPr>
        <w:t>六</w:t>
      </w:r>
      <w:r>
        <w:rPr>
          <w:rFonts w:hint="default" w:ascii="Times New Roman" w:hAnsi="Times New Roman" w:cs="Times New Roman" w:eastAsiaTheme="majorEastAsia"/>
          <w:b/>
          <w:bCs/>
          <w:sz w:val="32"/>
          <w:szCs w:val="32"/>
          <w:highlight w:val="none"/>
          <w:lang w:val="en-US" w:eastAsia="zh-CN"/>
        </w:rPr>
        <w:t xml:space="preserve">章 </w:t>
      </w:r>
      <w:r>
        <w:rPr>
          <w:rFonts w:hint="eastAsia" w:ascii="Times New Roman" w:hAnsi="Times New Roman" w:cs="Times New Roman" w:eastAsiaTheme="majorEastAsia"/>
          <w:b/>
          <w:bCs/>
          <w:sz w:val="32"/>
          <w:szCs w:val="32"/>
          <w:highlight w:val="none"/>
          <w:lang w:val="en-US" w:eastAsia="zh-CN"/>
        </w:rPr>
        <w:t>响应文件</w:t>
      </w:r>
      <w:r>
        <w:rPr>
          <w:rFonts w:hint="default" w:ascii="Times New Roman" w:hAnsi="Times New Roman" w:cs="Times New Roman" w:eastAsiaTheme="majorEastAsia"/>
          <w:b/>
          <w:bCs/>
          <w:sz w:val="32"/>
          <w:szCs w:val="32"/>
          <w:highlight w:val="none"/>
          <w:lang w:val="en-US" w:eastAsia="zh-CN"/>
        </w:rPr>
        <w:t>格式</w:t>
      </w:r>
    </w:p>
    <w:p w14:paraId="5454BEE5">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268846F6">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0CD1049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u w:val="single"/>
          <w:shd w:val="clear" w:color="auto" w:fill="auto"/>
          <w:lang w:val="en-US" w:eastAsia="zh-CN"/>
        </w:rPr>
        <w:t>亳州逸合府一期施工总承包项目标识标线工程专业分包</w:t>
      </w:r>
    </w:p>
    <w:p w14:paraId="14C9558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285F90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响</w:t>
      </w:r>
    </w:p>
    <w:p w14:paraId="4279A2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应</w:t>
      </w:r>
    </w:p>
    <w:p w14:paraId="27CBF00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3D3230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18990D9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21862D8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AHTKJS-2026-021号</w:t>
      </w:r>
    </w:p>
    <w:p w14:paraId="48EB05FB">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5A280DD9">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供应商名称</w:t>
      </w:r>
      <w:r>
        <w:rPr>
          <w:rFonts w:hint="default" w:ascii="Times New Roman" w:hAnsi="Times New Roman" w:eastAsia="楷体" w:cs="Times New Roman"/>
          <w:kern w:val="0"/>
          <w:sz w:val="32"/>
          <w:szCs w:val="32"/>
          <w:highlight w:val="none"/>
          <w:shd w:val="clear" w:color="auto" w:fill="auto"/>
          <w:lang w:val="en-US" w:eastAsia="zh-CN"/>
        </w:rPr>
        <w:t>：</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w:t>
      </w:r>
      <w:r>
        <w:rPr>
          <w:rFonts w:hint="default" w:ascii="Times New Roman" w:hAnsi="Times New Roman" w:eastAsia="楷体" w:cs="Times New Roman"/>
          <w:b/>
          <w:bCs/>
          <w:color w:val="FF0000"/>
          <w:kern w:val="0"/>
          <w:sz w:val="32"/>
          <w:szCs w:val="32"/>
          <w:highlight w:val="none"/>
          <w:u w:val="none"/>
          <w:shd w:val="clear" w:color="auto" w:fill="auto"/>
          <w:lang w:val="en-US" w:eastAsia="zh-CN"/>
        </w:rPr>
        <w:t>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698740CB">
      <w:pPr>
        <w:keepNext w:val="0"/>
        <w:keepLines w:val="0"/>
        <w:pageBreakBefore w:val="0"/>
        <w:widowControl w:val="0"/>
        <w:kinsoku/>
        <w:wordWrap w:val="0"/>
        <w:overflowPunct/>
        <w:topLinePunct w:val="0"/>
        <w:autoSpaceDE/>
        <w:autoSpaceDN/>
        <w:bidi w:val="0"/>
        <w:adjustRightInd/>
        <w:snapToGrid/>
        <w:spacing w:line="240" w:lineRule="auto"/>
        <w:ind w:firstLine="320" w:firstLineChars="1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none"/>
          <w:shd w:val="clear" w:color="auto" w:fill="auto"/>
          <w:lang w:val="en-US" w:eastAsia="zh-CN"/>
        </w:rPr>
        <w:t>法定代表人或其委托代理人：</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eastAsia"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w:t>
      </w:r>
      <w:r>
        <w:rPr>
          <w:rFonts w:hint="default" w:ascii="Times New Roman" w:hAnsi="Times New Roman" w:eastAsia="楷体" w:cs="Times New Roman"/>
          <w:b/>
          <w:bCs/>
          <w:color w:val="FF0000"/>
          <w:kern w:val="0"/>
          <w:sz w:val="32"/>
          <w:szCs w:val="32"/>
          <w:highlight w:val="none"/>
          <w:u w:val="none"/>
          <w:shd w:val="clear" w:color="auto" w:fill="auto"/>
          <w:lang w:val="en-US" w:eastAsia="zh-CN"/>
        </w:rPr>
        <w:t>签字</w:t>
      </w:r>
      <w:r>
        <w:rPr>
          <w:rFonts w:hint="eastAsia" w:ascii="Times New Roman" w:hAnsi="Times New Roman" w:eastAsia="楷体" w:cs="Times New Roman"/>
          <w:b/>
          <w:bCs/>
          <w:color w:val="FF0000"/>
          <w:kern w:val="0"/>
          <w:sz w:val="32"/>
          <w:szCs w:val="32"/>
          <w:highlight w:val="none"/>
          <w:u w:val="none"/>
          <w:shd w:val="clear" w:color="auto" w:fill="auto"/>
          <w:lang w:val="en-US" w:eastAsia="zh-CN"/>
        </w:rPr>
        <w:t>或盖章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78FDAB44">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p>
    <w:p w14:paraId="30F4F76D">
      <w:pPr>
        <w:keepNext w:val="0"/>
        <w:keepLines w:val="0"/>
        <w:pageBreakBefore w:val="0"/>
        <w:widowControl w:val="0"/>
        <w:kinsoku/>
        <w:wordWrap/>
        <w:overflowPunct/>
        <w:topLinePunct w:val="0"/>
        <w:autoSpaceDE/>
        <w:autoSpaceDN/>
        <w:bidi w:val="0"/>
        <w:adjustRightInd/>
        <w:snapToGrid/>
        <w:spacing w:line="240" w:lineRule="auto"/>
        <w:ind w:firstLine="1920" w:firstLine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年</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月</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日</w:t>
      </w:r>
    </w:p>
    <w:p w14:paraId="4D2CD5FF">
      <w:pPr>
        <w:pStyle w:val="3"/>
        <w:jc w:val="center"/>
        <w:rPr>
          <w:rFonts w:hint="default" w:ascii="Times New Roman" w:hAnsi="Times New Roman" w:cs="Times New Roman"/>
        </w:rPr>
      </w:pPr>
      <w:bookmarkStart w:id="241" w:name="_Toc152045787"/>
      <w:bookmarkStart w:id="242" w:name="_Toc300835209"/>
      <w:bookmarkStart w:id="243" w:name="_Toc152042576"/>
      <w:bookmarkStart w:id="244" w:name="_Toc144974856"/>
      <w:bookmarkStart w:id="245" w:name="_Toc247514246"/>
      <w:bookmarkStart w:id="246" w:name="_Toc247527827"/>
      <w:r>
        <w:rPr>
          <w:rFonts w:hint="default" w:ascii="Times New Roman" w:hAnsi="Times New Roman" w:cs="Times New Roman"/>
        </w:rPr>
        <w:t>目    录</w:t>
      </w:r>
      <w:bookmarkEnd w:id="241"/>
      <w:bookmarkEnd w:id="242"/>
      <w:bookmarkEnd w:id="243"/>
      <w:bookmarkEnd w:id="244"/>
      <w:bookmarkEnd w:id="245"/>
      <w:bookmarkEnd w:id="246"/>
    </w:p>
    <w:p w14:paraId="187E6D0F">
      <w:pPr>
        <w:spacing w:line="540" w:lineRule="exact"/>
        <w:rPr>
          <w:rFonts w:hint="default" w:ascii="Times New Roman" w:hAnsi="Times New Roman" w:cs="Times New Roman"/>
        </w:rPr>
      </w:pP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4681"/>
        <w:gridCol w:w="2840"/>
      </w:tblGrid>
      <w:tr w14:paraId="508A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AD7C649">
            <w:pPr>
              <w:spacing w:line="540" w:lineRule="exact"/>
              <w:jc w:val="center"/>
              <w:rPr>
                <w:rFonts w:hint="default"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序号</w:t>
            </w:r>
          </w:p>
        </w:tc>
        <w:tc>
          <w:tcPr>
            <w:tcW w:w="4681" w:type="dxa"/>
            <w:vAlign w:val="center"/>
          </w:tcPr>
          <w:p w14:paraId="2B970D84">
            <w:pPr>
              <w:spacing w:line="540" w:lineRule="exact"/>
              <w:jc w:val="center"/>
              <w:rPr>
                <w:rFonts w:hint="default" w:ascii="Times New Roman" w:hAnsi="Times New Roman" w:cs="Times New Roman" w:eastAsiaTheme="minorEastAsia"/>
                <w:b/>
                <w:bCs/>
                <w:kern w:val="2"/>
                <w:sz w:val="21"/>
                <w:szCs w:val="24"/>
                <w:vertAlign w:val="baseline"/>
                <w:lang w:val="en-US" w:eastAsia="zh-CN" w:bidi="ar-SA"/>
              </w:rPr>
            </w:pPr>
            <w:r>
              <w:rPr>
                <w:rFonts w:hint="eastAsia" w:ascii="Times New Roman" w:hAnsi="Times New Roman" w:cs="Times New Roman"/>
                <w:b/>
                <w:bCs/>
                <w:vertAlign w:val="baseline"/>
                <w:lang w:val="en-US" w:eastAsia="zh-CN"/>
              </w:rPr>
              <w:t>资料名称</w:t>
            </w:r>
          </w:p>
        </w:tc>
        <w:tc>
          <w:tcPr>
            <w:tcW w:w="2840" w:type="dxa"/>
            <w:vAlign w:val="center"/>
          </w:tcPr>
          <w:p w14:paraId="2DF1D708">
            <w:pPr>
              <w:spacing w:line="540" w:lineRule="exact"/>
              <w:jc w:val="center"/>
              <w:rPr>
                <w:rFonts w:hint="eastAsia"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页码范围</w:t>
            </w:r>
          </w:p>
        </w:tc>
      </w:tr>
      <w:tr w14:paraId="65B8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1F7B39FA">
            <w:pPr>
              <w:spacing w:line="540" w:lineRule="exact"/>
              <w:jc w:val="center"/>
              <w:rPr>
                <w:rFonts w:hint="default" w:ascii="Times New Roman" w:hAnsi="Times New Roman" w:cs="Times New Roman"/>
                <w:vertAlign w:val="baseline"/>
              </w:rPr>
            </w:pPr>
            <w:r>
              <w:rPr>
                <w:rFonts w:hint="default" w:ascii="Times New Roman" w:hAnsi="Times New Roman" w:cs="Times New Roman"/>
              </w:rPr>
              <w:t>一</w:t>
            </w:r>
          </w:p>
        </w:tc>
        <w:tc>
          <w:tcPr>
            <w:tcW w:w="4681" w:type="dxa"/>
            <w:vAlign w:val="center"/>
          </w:tcPr>
          <w:p w14:paraId="6060C4CF">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报价函</w:t>
            </w:r>
          </w:p>
        </w:tc>
        <w:tc>
          <w:tcPr>
            <w:tcW w:w="2840" w:type="dxa"/>
            <w:vAlign w:val="center"/>
          </w:tcPr>
          <w:p w14:paraId="1027C407">
            <w:pPr>
              <w:spacing w:line="540" w:lineRule="exact"/>
              <w:jc w:val="center"/>
              <w:rPr>
                <w:rFonts w:hint="default" w:ascii="Times New Roman" w:hAnsi="Times New Roman" w:cs="Times New Roman"/>
                <w:vertAlign w:val="baseline"/>
              </w:rPr>
            </w:pPr>
          </w:p>
        </w:tc>
      </w:tr>
      <w:tr w14:paraId="7EF7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6A46435">
            <w:pPr>
              <w:spacing w:line="540" w:lineRule="exact"/>
              <w:jc w:val="center"/>
              <w:rPr>
                <w:rFonts w:hint="default" w:ascii="Times New Roman" w:hAnsi="Times New Roman" w:cs="Times New Roman"/>
                <w:vertAlign w:val="baseline"/>
              </w:rPr>
            </w:pPr>
            <w:r>
              <w:rPr>
                <w:rFonts w:hint="default" w:ascii="Times New Roman" w:hAnsi="Times New Roman" w:cs="Times New Roman"/>
              </w:rPr>
              <w:t>二</w:t>
            </w:r>
          </w:p>
        </w:tc>
        <w:tc>
          <w:tcPr>
            <w:tcW w:w="4681" w:type="dxa"/>
            <w:vAlign w:val="center"/>
          </w:tcPr>
          <w:p w14:paraId="43B3731C">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rPr>
              <w:t>法定代表人</w:t>
            </w:r>
            <w:r>
              <w:rPr>
                <w:rFonts w:hint="eastAsia" w:ascii="Times New Roman" w:hAnsi="Times New Roman" w:cs="Times New Roman"/>
                <w:highlight w:val="none"/>
                <w:lang w:val="en-US" w:eastAsia="zh-CN"/>
              </w:rPr>
              <w:t>身份证明/</w:t>
            </w:r>
            <w:r>
              <w:rPr>
                <w:rFonts w:hint="default" w:ascii="Times New Roman" w:hAnsi="Times New Roman" w:cs="Times New Roman"/>
                <w:highlight w:val="none"/>
              </w:rPr>
              <w:t>授权委托书</w:t>
            </w:r>
          </w:p>
        </w:tc>
        <w:tc>
          <w:tcPr>
            <w:tcW w:w="2840" w:type="dxa"/>
            <w:vAlign w:val="center"/>
          </w:tcPr>
          <w:p w14:paraId="69306C2C">
            <w:pPr>
              <w:spacing w:line="540" w:lineRule="exact"/>
              <w:jc w:val="center"/>
              <w:rPr>
                <w:rFonts w:hint="default" w:ascii="Times New Roman" w:hAnsi="Times New Roman" w:cs="Times New Roman"/>
                <w:vertAlign w:val="baseline"/>
              </w:rPr>
            </w:pPr>
          </w:p>
        </w:tc>
      </w:tr>
      <w:tr w14:paraId="6E0B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3AA8602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三</w:t>
            </w:r>
          </w:p>
        </w:tc>
        <w:tc>
          <w:tcPr>
            <w:tcW w:w="4681" w:type="dxa"/>
            <w:vAlign w:val="center"/>
          </w:tcPr>
          <w:p w14:paraId="137392C4">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联合体协议书</w:t>
            </w:r>
          </w:p>
        </w:tc>
        <w:tc>
          <w:tcPr>
            <w:tcW w:w="2840" w:type="dxa"/>
            <w:vAlign w:val="center"/>
          </w:tcPr>
          <w:p w14:paraId="4F3DF440">
            <w:pPr>
              <w:spacing w:line="540" w:lineRule="exact"/>
              <w:jc w:val="center"/>
              <w:rPr>
                <w:rFonts w:hint="default" w:ascii="Times New Roman" w:hAnsi="Times New Roman" w:cs="Times New Roman"/>
                <w:vertAlign w:val="baseline"/>
              </w:rPr>
            </w:pPr>
          </w:p>
        </w:tc>
      </w:tr>
      <w:tr w14:paraId="7F6C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356C0E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四</w:t>
            </w:r>
          </w:p>
        </w:tc>
        <w:tc>
          <w:tcPr>
            <w:tcW w:w="4681" w:type="dxa"/>
            <w:vAlign w:val="center"/>
          </w:tcPr>
          <w:p w14:paraId="3E69BE88">
            <w:pPr>
              <w:spacing w:line="540" w:lineRule="exact"/>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eastAsia="zh-CN"/>
              </w:rPr>
              <w:t>响应保证金</w:t>
            </w:r>
            <w:r>
              <w:rPr>
                <w:rFonts w:hint="default" w:ascii="Times New Roman" w:hAnsi="Times New Roman" w:cs="Times New Roman"/>
                <w:highlight w:val="none"/>
              </w:rPr>
              <w:t xml:space="preserve"> </w:t>
            </w:r>
          </w:p>
        </w:tc>
        <w:tc>
          <w:tcPr>
            <w:tcW w:w="2840" w:type="dxa"/>
            <w:vAlign w:val="center"/>
          </w:tcPr>
          <w:p w14:paraId="07910045">
            <w:pPr>
              <w:spacing w:line="540" w:lineRule="exact"/>
              <w:jc w:val="center"/>
              <w:rPr>
                <w:rFonts w:hint="default" w:ascii="Times New Roman" w:hAnsi="Times New Roman" w:cs="Times New Roman"/>
                <w:vertAlign w:val="baseline"/>
              </w:rPr>
            </w:pPr>
          </w:p>
        </w:tc>
      </w:tr>
      <w:tr w14:paraId="3812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BD4DB6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五</w:t>
            </w:r>
          </w:p>
        </w:tc>
        <w:tc>
          <w:tcPr>
            <w:tcW w:w="4681" w:type="dxa"/>
            <w:vAlign w:val="center"/>
          </w:tcPr>
          <w:p w14:paraId="5165744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商务和技术偏差表</w:t>
            </w:r>
          </w:p>
        </w:tc>
        <w:tc>
          <w:tcPr>
            <w:tcW w:w="2840" w:type="dxa"/>
            <w:vAlign w:val="center"/>
          </w:tcPr>
          <w:p w14:paraId="36D7AC36">
            <w:pPr>
              <w:spacing w:line="540" w:lineRule="exact"/>
              <w:jc w:val="center"/>
              <w:rPr>
                <w:rFonts w:hint="default" w:ascii="Times New Roman" w:hAnsi="Times New Roman" w:cs="Times New Roman"/>
                <w:vertAlign w:val="baseline"/>
              </w:rPr>
            </w:pPr>
          </w:p>
        </w:tc>
      </w:tr>
      <w:tr w14:paraId="32C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50FBA637">
            <w:pPr>
              <w:spacing w:line="540" w:lineRule="exact"/>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六</w:t>
            </w:r>
          </w:p>
        </w:tc>
        <w:tc>
          <w:tcPr>
            <w:tcW w:w="4681" w:type="dxa"/>
            <w:vAlign w:val="center"/>
          </w:tcPr>
          <w:p w14:paraId="7E7BF99D">
            <w:pPr>
              <w:spacing w:line="540" w:lineRule="exact"/>
              <w:jc w:val="center"/>
              <w:rPr>
                <w:rFonts w:hint="default" w:ascii="Times New Roman" w:hAnsi="Times New Roman" w:cs="Times New Roman"/>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报价表</w:t>
            </w:r>
          </w:p>
        </w:tc>
        <w:tc>
          <w:tcPr>
            <w:tcW w:w="2840" w:type="dxa"/>
            <w:vAlign w:val="center"/>
          </w:tcPr>
          <w:p w14:paraId="11D9BFC0">
            <w:pPr>
              <w:spacing w:line="540" w:lineRule="exact"/>
              <w:jc w:val="center"/>
              <w:rPr>
                <w:rFonts w:hint="default" w:ascii="Times New Roman" w:hAnsi="Times New Roman" w:cs="Times New Roman"/>
                <w:vertAlign w:val="baseline"/>
              </w:rPr>
            </w:pPr>
          </w:p>
        </w:tc>
      </w:tr>
      <w:tr w14:paraId="6537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011C877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七</w:t>
            </w:r>
          </w:p>
        </w:tc>
        <w:tc>
          <w:tcPr>
            <w:tcW w:w="4681" w:type="dxa"/>
            <w:vAlign w:val="center"/>
          </w:tcPr>
          <w:p w14:paraId="1A54D770">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承诺函</w:t>
            </w:r>
          </w:p>
        </w:tc>
        <w:tc>
          <w:tcPr>
            <w:tcW w:w="2840" w:type="dxa"/>
            <w:vAlign w:val="center"/>
          </w:tcPr>
          <w:p w14:paraId="1B402675">
            <w:pPr>
              <w:spacing w:line="540" w:lineRule="exact"/>
              <w:jc w:val="center"/>
              <w:rPr>
                <w:rFonts w:hint="default" w:ascii="Times New Roman" w:hAnsi="Times New Roman" w:cs="Times New Roman"/>
                <w:vertAlign w:val="baseline"/>
              </w:rPr>
            </w:pPr>
          </w:p>
        </w:tc>
      </w:tr>
      <w:tr w14:paraId="4A78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1FD30ECB">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八</w:t>
            </w:r>
          </w:p>
        </w:tc>
        <w:tc>
          <w:tcPr>
            <w:tcW w:w="4681" w:type="dxa"/>
            <w:shd w:val="clear" w:color="auto" w:fill="auto"/>
            <w:vAlign w:val="center"/>
          </w:tcPr>
          <w:p w14:paraId="2C853D45">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资格审查资料</w:t>
            </w:r>
          </w:p>
        </w:tc>
        <w:tc>
          <w:tcPr>
            <w:tcW w:w="2840" w:type="dxa"/>
            <w:vAlign w:val="center"/>
          </w:tcPr>
          <w:p w14:paraId="3FC11802">
            <w:pPr>
              <w:spacing w:line="540" w:lineRule="exact"/>
              <w:jc w:val="center"/>
              <w:rPr>
                <w:rFonts w:hint="default" w:ascii="Times New Roman" w:hAnsi="Times New Roman" w:cs="Times New Roman"/>
                <w:vertAlign w:val="baseline"/>
              </w:rPr>
            </w:pPr>
          </w:p>
        </w:tc>
      </w:tr>
      <w:tr w14:paraId="1AC7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7229FCFE">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九</w:t>
            </w:r>
          </w:p>
        </w:tc>
        <w:tc>
          <w:tcPr>
            <w:tcW w:w="4681" w:type="dxa"/>
            <w:shd w:val="clear" w:color="auto" w:fill="auto"/>
            <w:vAlign w:val="center"/>
          </w:tcPr>
          <w:p w14:paraId="12BAE72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响应方案</w:t>
            </w:r>
          </w:p>
        </w:tc>
        <w:tc>
          <w:tcPr>
            <w:tcW w:w="2840" w:type="dxa"/>
            <w:vAlign w:val="center"/>
          </w:tcPr>
          <w:p w14:paraId="623C7637">
            <w:pPr>
              <w:spacing w:line="540" w:lineRule="exact"/>
              <w:jc w:val="center"/>
              <w:rPr>
                <w:rFonts w:hint="default" w:ascii="Times New Roman" w:hAnsi="Times New Roman" w:cs="Times New Roman"/>
                <w:vertAlign w:val="baseline"/>
              </w:rPr>
            </w:pPr>
          </w:p>
        </w:tc>
      </w:tr>
      <w:tr w14:paraId="5C18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39EFE481">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十</w:t>
            </w:r>
          </w:p>
        </w:tc>
        <w:tc>
          <w:tcPr>
            <w:tcW w:w="4681" w:type="dxa"/>
            <w:shd w:val="clear" w:color="auto" w:fill="auto"/>
            <w:vAlign w:val="center"/>
          </w:tcPr>
          <w:p w14:paraId="5BC25D6D">
            <w:pPr>
              <w:spacing w:line="540" w:lineRule="exact"/>
              <w:jc w:val="center"/>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其他资料</w:t>
            </w:r>
          </w:p>
        </w:tc>
        <w:tc>
          <w:tcPr>
            <w:tcW w:w="2840" w:type="dxa"/>
            <w:vAlign w:val="center"/>
          </w:tcPr>
          <w:p w14:paraId="73383BAC">
            <w:pPr>
              <w:spacing w:line="540" w:lineRule="exact"/>
              <w:jc w:val="center"/>
              <w:rPr>
                <w:rFonts w:hint="default" w:ascii="Times New Roman" w:hAnsi="Times New Roman" w:cs="Times New Roman"/>
                <w:vertAlign w:val="baseline"/>
              </w:rPr>
            </w:pPr>
          </w:p>
        </w:tc>
      </w:tr>
    </w:tbl>
    <w:p w14:paraId="6BDF9E01">
      <w:pPr>
        <w:spacing w:line="540" w:lineRule="exact"/>
        <w:rPr>
          <w:rFonts w:hint="default" w:ascii="Times New Roman" w:hAnsi="Times New Roman" w:cs="Times New Roman"/>
          <w:highlight w:val="none"/>
          <w:lang w:val="en-US" w:eastAsia="zh-CN"/>
        </w:rPr>
      </w:pPr>
    </w:p>
    <w:p w14:paraId="4DA72D83">
      <w:pPr>
        <w:spacing w:line="540" w:lineRule="exact"/>
        <w:rPr>
          <w:rFonts w:hint="default" w:ascii="Times New Roman" w:hAnsi="Times New Roman" w:cs="Times New Roman"/>
        </w:rPr>
      </w:pPr>
      <w:r>
        <w:rPr>
          <w:rFonts w:hint="default" w:ascii="Times New Roman" w:hAnsi="Times New Roman" w:cs="Times New Roman"/>
        </w:rPr>
        <w:t xml:space="preserve"> </w:t>
      </w:r>
    </w:p>
    <w:p w14:paraId="42DEEDB5">
      <w:pPr>
        <w:spacing w:line="540" w:lineRule="exact"/>
        <w:rPr>
          <w:rFonts w:hint="default" w:ascii="Times New Roman" w:hAnsi="Times New Roman" w:eastAsia="黑体" w:cs="Times New Roman"/>
          <w:sz w:val="20"/>
          <w:szCs w:val="20"/>
        </w:rPr>
      </w:pPr>
      <w:r>
        <w:rPr>
          <w:rFonts w:hint="default" w:ascii="Times New Roman" w:hAnsi="Times New Roman" w:cs="Times New Roman"/>
        </w:rPr>
        <w:br w:type="page"/>
      </w:r>
    </w:p>
    <w:p w14:paraId="1665E5C4">
      <w:pPr>
        <w:pStyle w:val="3"/>
        <w:jc w:val="center"/>
        <w:rPr>
          <w:rFonts w:hint="default" w:ascii="Times New Roman" w:hAnsi="Times New Roman" w:eastAsia="黑体" w:cs="Times New Roman"/>
          <w:sz w:val="20"/>
          <w:szCs w:val="20"/>
        </w:rPr>
      </w:pPr>
      <w:bookmarkStart w:id="247" w:name="_Toc152042577"/>
      <w:bookmarkStart w:id="248" w:name="_Toc247527828"/>
      <w:bookmarkStart w:id="249" w:name="_Toc247514247"/>
      <w:bookmarkStart w:id="250" w:name="_Toc300835210"/>
      <w:bookmarkStart w:id="251" w:name="_Toc144974857"/>
      <w:bookmarkStart w:id="252" w:name="_Toc152045788"/>
      <w:r>
        <w:rPr>
          <w:rFonts w:hint="default" w:ascii="Times New Roman" w:hAnsi="Times New Roman" w:cs="Times New Roman"/>
        </w:rPr>
        <w:t>一、</w:t>
      </w:r>
      <w:r>
        <w:rPr>
          <w:rFonts w:hint="eastAsia" w:ascii="Times New Roman" w:hAnsi="Times New Roman" w:cs="Times New Roman"/>
          <w:lang w:val="en-US" w:eastAsia="zh-CN"/>
        </w:rPr>
        <w:t>报价</w:t>
      </w:r>
      <w:r>
        <w:rPr>
          <w:rFonts w:hint="default" w:ascii="Times New Roman" w:hAnsi="Times New Roman" w:cs="Times New Roman"/>
        </w:rPr>
        <w:t>函</w:t>
      </w:r>
      <w:bookmarkEnd w:id="247"/>
      <w:bookmarkEnd w:id="248"/>
      <w:bookmarkEnd w:id="249"/>
      <w:bookmarkEnd w:id="250"/>
      <w:bookmarkEnd w:id="251"/>
      <w:bookmarkEnd w:id="252"/>
    </w:p>
    <w:p w14:paraId="5498D033">
      <w:pPr>
        <w:spacing w:line="440" w:lineRule="exact"/>
        <w:rPr>
          <w:rFonts w:hint="default" w:ascii="Times New Roman" w:hAnsi="Times New Roman" w:cs="Times New Roman"/>
          <w:szCs w:val="21"/>
        </w:rPr>
      </w:pPr>
      <w:bookmarkStart w:id="253" w:name="_Toc300835212"/>
      <w:bookmarkStart w:id="254" w:name="_Toc152042579"/>
      <w:bookmarkStart w:id="255" w:name="_Toc247527830"/>
      <w:bookmarkStart w:id="256" w:name="_Toc144974859"/>
      <w:bookmarkStart w:id="257" w:name="_Toc247514249"/>
      <w:bookmarkStart w:id="258" w:name="_Toc152045790"/>
      <w:r>
        <w:rPr>
          <w:rFonts w:hint="default" w:ascii="Times New Roman" w:hAnsi="Times New Roman" w:cs="Times New Roman"/>
          <w:szCs w:val="21"/>
          <w:u w:val="single"/>
          <w:lang w:val="en-US" w:eastAsia="zh-CN"/>
        </w:rPr>
        <w:t>安徽通康建设工程有限公司</w:t>
      </w:r>
      <w:r>
        <w:rPr>
          <w:rFonts w:hint="default" w:ascii="Times New Roman" w:hAnsi="Times New Roman" w:cs="Times New Roman"/>
          <w:szCs w:val="21"/>
        </w:rPr>
        <w:t>：</w:t>
      </w:r>
    </w:p>
    <w:p w14:paraId="6C5C830D">
      <w:pPr>
        <w:spacing w:line="440" w:lineRule="exact"/>
        <w:ind w:firstLine="420" w:firstLineChars="200"/>
        <w:rPr>
          <w:rFonts w:hint="default" w:ascii="Times New Roman" w:hAnsi="Times New Roman" w:cs="Times New Roman" w:eastAsiaTheme="minorEastAsia"/>
          <w:szCs w:val="21"/>
          <w:u w:val="none"/>
          <w:lang w:val="en-US" w:eastAsia="zh-CN"/>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我方已仔细研究了</w:t>
      </w:r>
      <w:r>
        <w:rPr>
          <w:rFonts w:hint="eastAsia" w:ascii="Times New Roman" w:hAnsi="Times New Roman" w:cs="Times New Roman"/>
          <w:szCs w:val="21"/>
          <w:u w:val="single"/>
          <w:lang w:val="en-US" w:eastAsia="zh-CN"/>
        </w:rPr>
        <w:t>亳州逸合府一期施工总承包项目标识标线工程专业分包</w:t>
      </w:r>
      <w:r>
        <w:rPr>
          <w:rFonts w:hint="eastAsia" w:ascii="Times New Roman" w:hAnsi="Times New Roman" w:cs="Times New Roman"/>
          <w:szCs w:val="21"/>
          <w:u w:val="none"/>
          <w:lang w:eastAsia="zh-CN"/>
        </w:rPr>
        <w:t>（</w:t>
      </w:r>
      <w:r>
        <w:rPr>
          <w:rFonts w:hint="eastAsia" w:ascii="Times New Roman" w:hAnsi="Times New Roman" w:cs="Times New Roman"/>
          <w:szCs w:val="21"/>
          <w:u w:val="none"/>
          <w:lang w:val="en-US" w:eastAsia="zh-CN"/>
        </w:rPr>
        <w:t>项目编号：</w:t>
      </w:r>
      <w:r>
        <w:rPr>
          <w:rFonts w:hint="eastAsia" w:ascii="Times New Roman" w:hAnsi="Times New Roman" w:cs="Times New Roman"/>
          <w:color w:val="000000" w:themeColor="text1"/>
          <w:szCs w:val="21"/>
          <w:u w:val="single"/>
          <w:lang w:val="en-US" w:eastAsia="zh-CN"/>
          <w14:textFill>
            <w14:solidFill>
              <w14:schemeClr w14:val="tx1"/>
            </w14:solidFill>
          </w14:textFill>
        </w:rPr>
        <w:t>AHTKJS-2026-021号</w:t>
      </w:r>
      <w:r>
        <w:rPr>
          <w:rFonts w:hint="eastAsia" w:ascii="Times New Roman" w:hAnsi="Times New Roman" w:cs="Times New Roman"/>
          <w:szCs w:val="21"/>
          <w:u w:val="none"/>
          <w:lang w:val="en-US" w:eastAsia="zh-CN"/>
        </w:rPr>
        <w:t>）</w:t>
      </w:r>
      <w:r>
        <w:rPr>
          <w:rFonts w:hint="eastAsia" w:ascii="Times New Roman" w:hAnsi="Times New Roman" w:cs="Times New Roman"/>
          <w:szCs w:val="21"/>
          <w:lang w:val="en-US" w:eastAsia="zh-CN"/>
        </w:rPr>
        <w:t>项目询比文件的全部内容，愿意以</w:t>
      </w:r>
      <w:permStart w:id="45" w:edGrp="everyone"/>
      <w:r>
        <w:rPr>
          <w:rFonts w:hint="eastAsia" w:ascii="Times New Roman" w:hAnsi="Times New Roman" w:cs="Times New Roman"/>
          <w:szCs w:val="21"/>
          <w:lang w:val="en-US" w:eastAsia="zh-CN"/>
        </w:rPr>
        <w:t>建设单位提供的清单控制价中标识标线工程专业分包部分为基数，基数的</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 xml:space="preserve">   %</w:t>
      </w:r>
      <w:r>
        <w:rPr>
          <w:rFonts w:hint="eastAsia" w:ascii="Times New Roman" w:hAnsi="Times New Roman" w:cs="Times New Roman"/>
          <w:szCs w:val="21"/>
          <w:lang w:val="en-US" w:eastAsia="zh-CN"/>
        </w:rPr>
        <w:t>（</w:t>
      </w:r>
      <w:r>
        <w:rPr>
          <w:rFonts w:hint="eastAsia" w:ascii="Times New Roman" w:hAnsi="Times New Roman" w:cs="Times New Roman"/>
          <w:color w:val="FF0000"/>
          <w:szCs w:val="21"/>
          <w:lang w:val="en-US" w:eastAsia="zh-CN"/>
        </w:rPr>
        <w:t>其中，增值税税率为</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w:t>
      </w:r>
      <w:r>
        <w:rPr>
          <w:rFonts w:hint="eastAsia" w:ascii="Times New Roman" w:hAnsi="Times New Roman" w:cs="Times New Roman"/>
          <w:szCs w:val="21"/>
          <w:lang w:val="en-US" w:eastAsia="zh-CN"/>
        </w:rPr>
        <w:t>）</w:t>
      </w:r>
      <w:permEnd w:id="45"/>
      <w:r>
        <w:rPr>
          <w:rFonts w:hint="eastAsia" w:ascii="Times New Roman" w:hAnsi="Times New Roman" w:cs="Times New Roman"/>
          <w:szCs w:val="21"/>
          <w:lang w:val="en-US" w:eastAsia="zh-CN"/>
        </w:rPr>
        <w:t>，计划工期：</w:t>
      </w:r>
      <w:r>
        <w:rPr>
          <w:rFonts w:hint="eastAsia" w:ascii="Times New Roman" w:hAnsi="Times New Roman" w:cs="Times New Roman"/>
          <w:color w:val="FF0000"/>
          <w:szCs w:val="21"/>
          <w:u w:val="single"/>
          <w:lang w:val="en-US" w:eastAsia="zh-CN"/>
        </w:rPr>
        <w:t>自采购人下达开工指令之日起90日历天，按合同约定完成本项目全部工作</w:t>
      </w:r>
      <w:r>
        <w:rPr>
          <w:rFonts w:hint="eastAsia" w:ascii="Times New Roman" w:hAnsi="Times New Roman" w:cs="Times New Roman"/>
          <w:szCs w:val="21"/>
          <w:u w:val="none"/>
          <w:lang w:val="en-US" w:eastAsia="zh-CN"/>
        </w:rPr>
        <w:t>。</w:t>
      </w:r>
    </w:p>
    <w:p w14:paraId="6C269A3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2．我方同意接受询比文件中响应文件有效期的相关规定。</w:t>
      </w:r>
    </w:p>
    <w:p w14:paraId="2A02420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3．如我方成交，我方承诺：</w:t>
      </w:r>
    </w:p>
    <w:p w14:paraId="6928039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（1）在收到成交通知书后，在成交通知书规定的期限内与你方签订合同；</w:t>
      </w:r>
    </w:p>
    <w:p w14:paraId="09C53F9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（2）在签订合同时不向你方提出附加条件；</w:t>
      </w:r>
    </w:p>
    <w:p w14:paraId="241D0CC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（3）按照采购文件要求递交履约保证金；</w:t>
      </w:r>
    </w:p>
    <w:p w14:paraId="40949D6C">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（4）在合同约定的期限内完成合同规定的全部义务。</w:t>
      </w:r>
    </w:p>
    <w:p w14:paraId="4A386C2C">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4.我方愿意提供可能另外要求的、与本次询比有关的文件资料，并保证我方已提供和将要提供的文件是真实的、准确的。</w:t>
      </w:r>
    </w:p>
    <w:p w14:paraId="3116021E">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5.我方提供的此项目所有证件的扫描件与原件相符，是真实、合法、有效的，提供的综合业绩资料是真实的。如发现虚假证件或虚假陈述，我方愿承担与此相关的一切法律后果。</w:t>
      </w:r>
    </w:p>
    <w:p w14:paraId="79290A3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6．我方完全理解不一定将合同授予最低报价的供应商。</w:t>
      </w:r>
    </w:p>
    <w:p w14:paraId="7EAEB403">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7.</w:t>
      </w:r>
      <w:r>
        <w:rPr>
          <w:rFonts w:hint="default" w:ascii="Times New Roman" w:hAnsi="Times New Roman" w:cs="Times New Roman"/>
          <w:szCs w:val="21"/>
          <w:u w:val="single"/>
        </w:rPr>
        <w:t xml:space="preserve">                                       </w:t>
      </w:r>
      <w:r>
        <w:rPr>
          <w:rFonts w:hint="default" w:ascii="Times New Roman" w:hAnsi="Times New Roman" w:cs="Times New Roman"/>
          <w:szCs w:val="21"/>
        </w:rPr>
        <w:t>（其他补充说明）。</w:t>
      </w:r>
    </w:p>
    <w:p w14:paraId="1DFBB47C">
      <w:pPr>
        <w:spacing w:line="440" w:lineRule="exact"/>
        <w:rPr>
          <w:rFonts w:hint="default" w:ascii="Times New Roman" w:hAnsi="Times New Roman" w:cs="Times New Roman"/>
          <w:szCs w:val="21"/>
        </w:rPr>
      </w:pPr>
    </w:p>
    <w:p w14:paraId="7E3A252A">
      <w:pPr>
        <w:spacing w:line="440" w:lineRule="exact"/>
        <w:ind w:firstLine="2310" w:firstLineChars="1100"/>
        <w:rPr>
          <w:rFonts w:hint="eastAsia" w:ascii="Times New Roman" w:hAnsi="Times New Roman" w:cs="Times New Roman"/>
          <w:szCs w:val="21"/>
          <w:lang w:val="en-US" w:eastAsia="zh-CN"/>
        </w:rPr>
      </w:pPr>
    </w:p>
    <w:p w14:paraId="6A3E1B4E">
      <w:pPr>
        <w:spacing w:line="440" w:lineRule="exact"/>
        <w:ind w:firstLine="2310" w:firstLineChars="1100"/>
        <w:rPr>
          <w:rFonts w:hint="default" w:ascii="Times New Roman" w:hAnsi="Times New Roman" w:cs="Times New Roman"/>
          <w:szCs w:val="21"/>
        </w:rPr>
      </w:pPr>
      <w:r>
        <w:rPr>
          <w:rFonts w:hint="eastAsia" w:ascii="Times New Roman" w:hAnsi="Times New Roman" w:cs="Times New Roman"/>
          <w:szCs w:val="21"/>
          <w:lang w:val="en-US"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03B8DCFA">
      <w:pPr>
        <w:spacing w:line="440" w:lineRule="exact"/>
        <w:ind w:firstLine="2310" w:firstLineChars="1100"/>
        <w:jc w:val="right"/>
        <w:rPr>
          <w:rFonts w:hint="default" w:ascii="Times New Roman" w:hAnsi="Times New Roman" w:cs="Times New Roman"/>
          <w:szCs w:val="21"/>
        </w:rPr>
      </w:pPr>
      <w:r>
        <w:rPr>
          <w:rFonts w:hint="default" w:ascii="Times New Roman" w:hAnsi="Times New Roman" w:cs="Times New Roman"/>
          <w:szCs w:val="21"/>
        </w:rPr>
        <w:t>法定代表人或其委托代理人：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签字</w:t>
      </w:r>
      <w:r>
        <w:rPr>
          <w:rFonts w:hint="eastAsia" w:ascii="Times New Roman" w:hAnsi="Times New Roman" w:cs="Times New Roman"/>
          <w:b/>
          <w:bCs/>
          <w:color w:val="FF0000"/>
          <w:szCs w:val="21"/>
          <w:lang w:val="en-US" w:eastAsia="zh-CN"/>
        </w:rPr>
        <w:t>或盖章</w:t>
      </w:r>
      <w:r>
        <w:rPr>
          <w:rFonts w:hint="default" w:ascii="Times New Roman" w:hAnsi="Times New Roman" w:cs="Times New Roman"/>
          <w:szCs w:val="21"/>
        </w:rPr>
        <w:t>）</w:t>
      </w:r>
    </w:p>
    <w:p w14:paraId="5178E358">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地址：</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1DA16AE1">
      <w:pPr>
        <w:spacing w:line="440" w:lineRule="exact"/>
        <w:ind w:firstLine="2310" w:firstLineChars="1100"/>
        <w:rPr>
          <w:rFonts w:hint="default" w:ascii="Times New Roman" w:hAnsi="Times New Roman" w:cs="Times New Roman"/>
          <w:szCs w:val="21"/>
          <w:u w:val="single"/>
        </w:rPr>
      </w:pPr>
      <w:r>
        <w:rPr>
          <w:rFonts w:hint="default" w:ascii="Times New Roman" w:hAnsi="Times New Roman" w:cs="Times New Roman"/>
          <w:szCs w:val="21"/>
        </w:rPr>
        <w:t>电话：</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3180922A">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邮政编码：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0D4958DB">
      <w:pPr>
        <w:spacing w:line="440" w:lineRule="exact"/>
        <w:ind w:firstLine="4725" w:firstLineChars="225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bookmarkEnd w:id="253"/>
    <w:bookmarkEnd w:id="254"/>
    <w:bookmarkEnd w:id="255"/>
    <w:bookmarkEnd w:id="256"/>
    <w:bookmarkEnd w:id="257"/>
    <w:bookmarkEnd w:id="258"/>
    <w:p w14:paraId="5CB70B30">
      <w:pPr>
        <w:pStyle w:val="3"/>
        <w:jc w:val="both"/>
        <w:rPr>
          <w:rFonts w:hint="default" w:ascii="Times New Roman" w:hAnsi="Times New Roman" w:cs="Times New Roman"/>
        </w:rPr>
      </w:pPr>
      <w:bookmarkStart w:id="259" w:name="_Toc152042580"/>
      <w:bookmarkStart w:id="260" w:name="_Toc152045791"/>
      <w:bookmarkStart w:id="261" w:name="_Toc247514283"/>
      <w:bookmarkStart w:id="262" w:name="_Toc300835213"/>
      <w:bookmarkStart w:id="263" w:name="_Toc144974860"/>
      <w:bookmarkStart w:id="264" w:name="_Toc247527831"/>
    </w:p>
    <w:p w14:paraId="352DF75A">
      <w:pPr>
        <w:rPr>
          <w:rFonts w:hint="default"/>
        </w:rPr>
      </w:pPr>
    </w:p>
    <w:p w14:paraId="37F9C44E">
      <w:pPr>
        <w:pStyle w:val="3"/>
        <w:jc w:val="center"/>
        <w:rPr>
          <w:rFonts w:hint="default" w:ascii="Times New Roman" w:hAnsi="Times New Roman" w:cs="Times New Roman"/>
        </w:rPr>
      </w:pPr>
      <w:r>
        <w:rPr>
          <w:rFonts w:hint="default" w:ascii="Times New Roman" w:hAnsi="Times New Roman" w:cs="Times New Roman"/>
        </w:rPr>
        <w:t>二、法定代表人身份证明</w:t>
      </w:r>
      <w:bookmarkEnd w:id="259"/>
      <w:bookmarkEnd w:id="260"/>
      <w:bookmarkEnd w:id="261"/>
      <w:bookmarkEnd w:id="262"/>
      <w:bookmarkEnd w:id="263"/>
      <w:bookmarkEnd w:id="264"/>
    </w:p>
    <w:p w14:paraId="4AA1CCD2">
      <w:pPr>
        <w:spacing w:line="440" w:lineRule="exact"/>
        <w:rPr>
          <w:rFonts w:hint="default" w:ascii="Times New Roman" w:hAnsi="Times New Roman" w:cs="Times New Roman"/>
          <w:sz w:val="20"/>
          <w:szCs w:val="20"/>
        </w:rPr>
      </w:pPr>
    </w:p>
    <w:p w14:paraId="5FD4E7EF">
      <w:pPr>
        <w:spacing w:line="440" w:lineRule="exact"/>
        <w:rPr>
          <w:rFonts w:hint="default" w:ascii="Times New Roman" w:hAnsi="Times New Roman" w:cs="Times New Roman"/>
          <w:szCs w:val="21"/>
        </w:rPr>
      </w:pPr>
    </w:p>
    <w:p w14:paraId="64B8A7AE">
      <w:pPr>
        <w:spacing w:line="440" w:lineRule="exact"/>
        <w:rPr>
          <w:rFonts w:hint="default" w:ascii="Times New Roman" w:hAnsi="Times New Roman" w:cs="Times New Roman"/>
          <w:szCs w:val="21"/>
        </w:rPr>
      </w:pPr>
      <w:r>
        <w:rPr>
          <w:rFonts w:hint="eastAsia" w:ascii="Times New Roman" w:hAnsi="Times New Roman" w:cs="Times New Roman"/>
          <w:szCs w:val="21"/>
          <w:lang w:eastAsia="zh-CN"/>
        </w:rPr>
        <w:t>供应商</w:t>
      </w:r>
      <w:r>
        <w:rPr>
          <w:rFonts w:hint="default" w:ascii="Times New Roman" w:hAnsi="Times New Roman" w:cs="Times New Roman"/>
          <w:szCs w:val="21"/>
        </w:rPr>
        <w:t>名称：</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p w14:paraId="7077D5B6">
      <w:pPr>
        <w:spacing w:line="440" w:lineRule="exact"/>
        <w:rPr>
          <w:rFonts w:hint="default" w:ascii="Times New Roman" w:hAnsi="Times New Roman" w:cs="Times New Roman"/>
          <w:szCs w:val="21"/>
        </w:rPr>
      </w:pPr>
      <w:r>
        <w:rPr>
          <w:rFonts w:hint="default" w:ascii="Times New Roman" w:hAnsi="Times New Roman" w:cs="Times New Roman"/>
          <w:szCs w:val="21"/>
        </w:rPr>
        <w:t>姓名：</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性别：</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年龄：</w:t>
      </w:r>
      <w:r>
        <w:rPr>
          <w:rFonts w:hint="default" w:ascii="Times New Roman" w:hAnsi="Times New Roman" w:cs="Times New Roman"/>
          <w:szCs w:val="21"/>
          <w:u w:val="single"/>
        </w:rPr>
        <w:t xml:space="preserve">        </w:t>
      </w:r>
      <w:r>
        <w:rPr>
          <w:rFonts w:hint="default" w:ascii="Times New Roman" w:hAnsi="Times New Roman" w:cs="Times New Roman"/>
          <w:szCs w:val="21"/>
        </w:rPr>
        <w:t>职务：</w:t>
      </w:r>
      <w:r>
        <w:rPr>
          <w:rFonts w:hint="default" w:ascii="Times New Roman" w:hAnsi="Times New Roman" w:cs="Times New Roman"/>
          <w:szCs w:val="21"/>
          <w:u w:val="single"/>
        </w:rPr>
        <w:t xml:space="preserve">        </w:t>
      </w:r>
    </w:p>
    <w:p w14:paraId="0E8296BD">
      <w:pPr>
        <w:spacing w:line="440" w:lineRule="exact"/>
        <w:rPr>
          <w:rFonts w:hint="default" w:ascii="Times New Roman" w:hAnsi="Times New Roman" w:cs="Times New Roman"/>
          <w:szCs w:val="21"/>
        </w:rPr>
      </w:pPr>
      <w:r>
        <w:rPr>
          <w:rFonts w:hint="default" w:ascii="Times New Roman" w:hAnsi="Times New Roman" w:cs="Times New Roman"/>
          <w:szCs w:val="21"/>
        </w:rPr>
        <w:t>系</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w:t>
      </w:r>
    </w:p>
    <w:p w14:paraId="43E50DEF">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特此证明。</w:t>
      </w:r>
    </w:p>
    <w:p w14:paraId="138EC63F">
      <w:pPr>
        <w:spacing w:line="440" w:lineRule="exact"/>
        <w:rPr>
          <w:rFonts w:hint="default" w:ascii="Times New Roman" w:hAnsi="Times New Roman" w:cs="Times New Roman"/>
          <w:szCs w:val="21"/>
        </w:rPr>
      </w:pPr>
    </w:p>
    <w:p w14:paraId="6EDE9E20">
      <w:pPr>
        <w:spacing w:line="440" w:lineRule="exact"/>
        <w:rPr>
          <w:rFonts w:hint="default" w:ascii="Times New Roman" w:hAnsi="Times New Roman" w:cs="Times New Roman"/>
          <w:szCs w:val="21"/>
        </w:rPr>
      </w:pPr>
      <w:r>
        <w:rPr>
          <w:rFonts w:hint="default" w:ascii="Times New Roman" w:hAnsi="Times New Roman" w:cs="Times New Roman"/>
          <w:szCs w:val="21"/>
        </w:rPr>
        <w:t>附：法定代表人身份证复印件。</w:t>
      </w:r>
    </w:p>
    <w:p w14:paraId="2169C23B">
      <w:pPr>
        <w:spacing w:line="440" w:lineRule="exact"/>
        <w:rPr>
          <w:rFonts w:hint="default" w:ascii="Times New Roman" w:hAnsi="Times New Roman" w:cs="Times New Roman"/>
          <w:szCs w:val="21"/>
        </w:rPr>
      </w:pPr>
    </w:p>
    <w:p w14:paraId="64F1B170">
      <w:pPr>
        <w:spacing w:line="440" w:lineRule="exac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注：本身份证明需由供应商加盖单位公章。</w:t>
      </w:r>
    </w:p>
    <w:p w14:paraId="1C793242">
      <w:pPr>
        <w:spacing w:line="440" w:lineRule="exact"/>
        <w:rPr>
          <w:rFonts w:hint="eastAsia" w:ascii="Times New Roman" w:hAnsi="Times New Roman" w:cs="Times New Roman"/>
          <w:szCs w:val="21"/>
          <w:lang w:val="en-US" w:eastAsia="zh-CN"/>
        </w:rPr>
      </w:pPr>
    </w:p>
    <w:p w14:paraId="417BE5B1">
      <w:pPr>
        <w:spacing w:line="440" w:lineRule="exact"/>
        <w:rPr>
          <w:rFonts w:hint="default" w:ascii="Times New Roman" w:hAnsi="Times New Roman" w:cs="Times New Roman"/>
          <w:szCs w:val="21"/>
          <w:lang w:val="en-US" w:eastAsia="zh-CN"/>
        </w:rPr>
      </w:pPr>
    </w:p>
    <w:p w14:paraId="60B92FFD">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21D68404">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p>
    <w:p w14:paraId="3B3DB479">
      <w:pPr>
        <w:spacing w:line="440" w:lineRule="exact"/>
        <w:ind w:firstLine="4410" w:firstLineChars="210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日</w:t>
      </w:r>
    </w:p>
    <w:p w14:paraId="3A974873">
      <w:pPr>
        <w:spacing w:line="44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3CE104B6">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bookmarkStart w:id="265" w:name="_Toc300835214"/>
      <w:bookmarkStart w:id="266" w:name="_Toc152042581"/>
      <w:bookmarkStart w:id="267" w:name="_Toc152045792"/>
      <w:bookmarkStart w:id="268" w:name="_Toc247527832"/>
      <w:bookmarkStart w:id="269" w:name="_Toc144974861"/>
      <w:bookmarkStart w:id="270" w:name="_Toc247514284"/>
      <w:r>
        <w:rPr>
          <w:rFonts w:hint="eastAsia" w:ascii="Times New Roman" w:hAnsi="Times New Roman" w:cs="Times New Roman"/>
          <w:lang w:val="en-US" w:eastAsia="zh-CN"/>
        </w:rPr>
        <w:t>二</w:t>
      </w:r>
      <w:r>
        <w:rPr>
          <w:rFonts w:hint="default" w:ascii="Times New Roman" w:hAnsi="Times New Roman" w:cs="Times New Roman"/>
        </w:rPr>
        <w:t>、授权委托书</w:t>
      </w:r>
      <w:bookmarkEnd w:id="265"/>
      <w:bookmarkEnd w:id="266"/>
      <w:bookmarkEnd w:id="267"/>
      <w:bookmarkEnd w:id="268"/>
      <w:bookmarkEnd w:id="269"/>
      <w:bookmarkEnd w:id="270"/>
    </w:p>
    <w:p w14:paraId="15D58F1C">
      <w:pPr>
        <w:pageBreakBefore w:val="0"/>
        <w:widowControl w:val="0"/>
        <w:kinsoku/>
        <w:wordWrap/>
        <w:overflowPunct/>
        <w:topLinePunct/>
        <w:autoSpaceDE/>
        <w:autoSpaceDN/>
        <w:bidi w:val="0"/>
        <w:adjustRightInd/>
        <w:snapToGrid/>
        <w:spacing w:line="500" w:lineRule="exact"/>
        <w:ind w:firstLine="420" w:firstLineChars="200"/>
        <w:jc w:val="center"/>
        <w:textAlignment w:val="auto"/>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b/>
          <w:bCs/>
          <w:color w:val="FF0000"/>
          <w:szCs w:val="21"/>
        </w:rPr>
        <w:t>适用于有委托代理人的情况</w:t>
      </w:r>
      <w:r>
        <w:rPr>
          <w:rFonts w:hint="default" w:ascii="Times New Roman" w:hAnsi="Times New Roman" w:cs="Times New Roman"/>
          <w:szCs w:val="21"/>
        </w:rPr>
        <w:t>）</w:t>
      </w:r>
    </w:p>
    <w:p w14:paraId="423EEF89">
      <w:pPr>
        <w:spacing w:line="440" w:lineRule="exact"/>
        <w:rPr>
          <w:rFonts w:hint="default" w:ascii="Times New Roman" w:hAnsi="Times New Roman" w:eastAsia="黑体" w:cs="Times New Roman"/>
          <w:szCs w:val="21"/>
        </w:rPr>
      </w:pPr>
    </w:p>
    <w:p w14:paraId="341FC22C">
      <w:pPr>
        <w:topLinePunct/>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本人</w:t>
      </w:r>
      <w:r>
        <w:rPr>
          <w:rFonts w:hint="default" w:ascii="Times New Roman" w:hAnsi="Times New Roman" w:cs="Times New Roman"/>
          <w:szCs w:val="21"/>
          <w:u w:val="single"/>
        </w:rPr>
        <w:t xml:space="preserve">       </w:t>
      </w:r>
      <w:r>
        <w:rPr>
          <w:rFonts w:hint="default" w:ascii="Times New Roman" w:hAnsi="Times New Roman" w:cs="Times New Roman"/>
          <w:szCs w:val="21"/>
        </w:rPr>
        <w:t>（姓名）系</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名称）的法定代表人，现委托</w:t>
      </w:r>
      <w:r>
        <w:rPr>
          <w:rFonts w:hint="default" w:ascii="Times New Roman" w:hAnsi="Times New Roman" w:cs="Times New Roman"/>
          <w:szCs w:val="21"/>
          <w:u w:val="single"/>
        </w:rPr>
        <w:t xml:space="preserve">        </w:t>
      </w:r>
      <w:r>
        <w:rPr>
          <w:rFonts w:hint="default" w:ascii="Times New Roman" w:hAnsi="Times New Roman" w:cs="Times New Roman"/>
          <w:szCs w:val="21"/>
        </w:rPr>
        <w:t>（姓名）为我方代理人。代理人根据授权，以我方名义签署、澄清</w:t>
      </w:r>
      <w:r>
        <w:rPr>
          <w:rFonts w:hint="eastAsia" w:ascii="Times New Roman" w:hAnsi="Times New Roman" w:cs="Times New Roman"/>
          <w:szCs w:val="21"/>
          <w:lang w:val="en-US" w:eastAsia="zh-CN"/>
        </w:rPr>
        <w:t>确认、递交、撤回、修改询比项目响应文件、签订合同和处理有关事宜，</w:t>
      </w:r>
      <w:r>
        <w:rPr>
          <w:rFonts w:hint="default" w:ascii="Times New Roman" w:hAnsi="Times New Roman" w:cs="Times New Roman"/>
          <w:szCs w:val="21"/>
        </w:rPr>
        <w:t>其法律后果由我方承担。</w:t>
      </w:r>
    </w:p>
    <w:p w14:paraId="3B21617B">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委托期限：</w:t>
      </w:r>
      <w:r>
        <w:rPr>
          <w:rFonts w:hint="default" w:ascii="Times New Roman" w:hAnsi="Times New Roman" w:cs="Times New Roman"/>
          <w:szCs w:val="21"/>
          <w:u w:val="single"/>
        </w:rPr>
        <w:t xml:space="preserve">             </w:t>
      </w:r>
      <w:r>
        <w:rPr>
          <w:rFonts w:hint="default" w:ascii="Times New Roman" w:hAnsi="Times New Roman" w:cs="Times New Roman"/>
          <w:szCs w:val="21"/>
        </w:rPr>
        <w:t>。</w:t>
      </w:r>
    </w:p>
    <w:p w14:paraId="6859DE32">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代理人无转委托权。</w:t>
      </w:r>
    </w:p>
    <w:p w14:paraId="38FC517B">
      <w:pPr>
        <w:spacing w:line="440" w:lineRule="exact"/>
        <w:ind w:firstLine="420" w:firstLineChars="200"/>
        <w:rPr>
          <w:rFonts w:hint="eastAsia" w:ascii="Times New Roman" w:hAnsi="Times New Roman" w:cs="Times New Roman"/>
          <w:szCs w:val="21"/>
          <w:lang w:val="en-US" w:eastAsia="zh-CN"/>
        </w:rPr>
      </w:pPr>
      <w:r>
        <w:rPr>
          <w:rFonts w:hint="default" w:ascii="Times New Roman" w:hAnsi="Times New Roman" w:cs="Times New Roman"/>
          <w:szCs w:val="21"/>
        </w:rPr>
        <w:t>附：法定代表人身份</w:t>
      </w:r>
      <w:r>
        <w:rPr>
          <w:rFonts w:hint="eastAsia" w:ascii="Times New Roman" w:hAnsi="Times New Roman" w:cs="Times New Roman"/>
          <w:szCs w:val="21"/>
          <w:lang w:val="en-US" w:eastAsia="zh-CN"/>
        </w:rPr>
        <w:t>证复印件及委托代理人身份证复印件</w:t>
      </w:r>
    </w:p>
    <w:p w14:paraId="701FFBC9">
      <w:pPr>
        <w:spacing w:line="440" w:lineRule="exact"/>
        <w:ind w:firstLine="420" w:firstLineChars="200"/>
        <w:rPr>
          <w:rFonts w:hint="eastAsia" w:ascii="Times New Roman" w:hAnsi="Times New Roman" w:cs="Times New Roman"/>
          <w:szCs w:val="21"/>
          <w:lang w:val="en-US" w:eastAsia="zh-CN"/>
        </w:rPr>
      </w:pPr>
    </w:p>
    <w:p w14:paraId="548B6DD1">
      <w:pPr>
        <w:spacing w:line="440" w:lineRule="exact"/>
        <w:ind w:firstLine="420" w:firstLineChars="20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注：本授权委托书需由供应商加盖单位公章并由其法定代表人和委托代理人签字。</w:t>
      </w:r>
    </w:p>
    <w:p w14:paraId="175B69A8">
      <w:pPr>
        <w:spacing w:line="440" w:lineRule="exact"/>
        <w:rPr>
          <w:rFonts w:hint="default" w:ascii="Times New Roman" w:hAnsi="Times New Roman" w:cs="Times New Roman"/>
          <w:szCs w:val="21"/>
        </w:rPr>
      </w:pPr>
    </w:p>
    <w:p w14:paraId="79835468">
      <w:pPr>
        <w:spacing w:line="440" w:lineRule="exact"/>
        <w:rPr>
          <w:rFonts w:hint="default" w:ascii="Times New Roman" w:hAnsi="Times New Roman" w:cs="Times New Roman"/>
          <w:szCs w:val="21"/>
        </w:rPr>
      </w:pPr>
    </w:p>
    <w:p w14:paraId="36F7F610">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供  应  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3935910C">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法定代表人：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签字或盖章</w:t>
      </w:r>
      <w:r>
        <w:rPr>
          <w:rFonts w:hint="default" w:ascii="Times New Roman" w:hAnsi="Times New Roman" w:cs="Times New Roman"/>
          <w:szCs w:val="21"/>
        </w:rPr>
        <w:t xml:space="preserve">） </w:t>
      </w:r>
    </w:p>
    <w:p w14:paraId="16ABBC1D">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3677FC5">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委托代理人：</w:t>
      </w:r>
      <w:r>
        <w:rPr>
          <w:rFonts w:hint="default" w:ascii="Times New Roman" w:hAnsi="Times New Roman" w:cs="Times New Roman"/>
          <w:szCs w:val="21"/>
          <w:u w:val="single"/>
        </w:rPr>
        <w:t xml:space="preserve">                               </w:t>
      </w:r>
      <w:r>
        <w:rPr>
          <w:rFonts w:hint="default" w:ascii="Times New Roman" w:hAnsi="Times New Roman" w:cs="Times New Roman"/>
          <w:szCs w:val="21"/>
          <w:u w:val="none"/>
        </w:rPr>
        <w:t>（</w:t>
      </w:r>
      <w:r>
        <w:rPr>
          <w:rFonts w:hint="default" w:ascii="Times New Roman" w:hAnsi="Times New Roman" w:cs="Times New Roman"/>
          <w:b/>
          <w:bCs/>
          <w:color w:val="FF0000"/>
          <w:szCs w:val="21"/>
          <w:u w:val="none"/>
        </w:rPr>
        <w:t>签字或盖章</w:t>
      </w:r>
      <w:r>
        <w:rPr>
          <w:rFonts w:hint="default" w:ascii="Times New Roman" w:hAnsi="Times New Roman" w:cs="Times New Roman"/>
          <w:szCs w:val="21"/>
          <w:u w:val="none"/>
        </w:rPr>
        <w:t>）</w:t>
      </w:r>
    </w:p>
    <w:p w14:paraId="17675C62">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u w:val="single"/>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BB95198">
      <w:pPr>
        <w:spacing w:line="440" w:lineRule="exact"/>
        <w:rPr>
          <w:rFonts w:hint="default" w:ascii="Times New Roman" w:hAnsi="Times New Roman" w:cs="Times New Roman"/>
          <w:szCs w:val="21"/>
        </w:rPr>
      </w:pPr>
    </w:p>
    <w:p w14:paraId="21BC7A4D">
      <w:pPr>
        <w:spacing w:line="440" w:lineRule="exact"/>
        <w:ind w:firstLine="3885" w:firstLineChars="1850"/>
        <w:rPr>
          <w:rFonts w:hint="default" w:ascii="Times New Roman" w:hAnsi="Times New Roman" w:eastAsia="黑体"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4F604B62">
      <w:pPr>
        <w:spacing w:line="400" w:lineRule="exact"/>
        <w:rPr>
          <w:rFonts w:hint="default" w:ascii="Times New Roman" w:hAnsi="Times New Roman" w:eastAsia="黑体" w:cs="Times New Roman"/>
          <w:sz w:val="20"/>
          <w:szCs w:val="20"/>
        </w:rPr>
      </w:pPr>
    </w:p>
    <w:p w14:paraId="040D755C">
      <w:pPr>
        <w:spacing w:line="400" w:lineRule="exact"/>
        <w:rPr>
          <w:rFonts w:hint="default" w:ascii="Times New Roman" w:hAnsi="Times New Roman" w:eastAsia="黑体" w:cs="Times New Roman"/>
          <w:sz w:val="20"/>
          <w:szCs w:val="20"/>
        </w:rPr>
      </w:pPr>
    </w:p>
    <w:p w14:paraId="75D01C03">
      <w:pPr>
        <w:spacing w:line="400" w:lineRule="exact"/>
        <w:rPr>
          <w:rFonts w:hint="default" w:ascii="Times New Roman" w:hAnsi="Times New Roman" w:eastAsia="黑体" w:cs="Times New Roman"/>
          <w:sz w:val="20"/>
          <w:szCs w:val="20"/>
        </w:rPr>
      </w:pPr>
    </w:p>
    <w:p w14:paraId="73B53E36">
      <w:pPr>
        <w:spacing w:line="400" w:lineRule="exact"/>
        <w:rPr>
          <w:rFonts w:hint="default" w:ascii="Times New Roman" w:hAnsi="Times New Roman" w:eastAsia="黑体" w:cs="Times New Roman"/>
          <w:sz w:val="20"/>
          <w:szCs w:val="20"/>
        </w:rPr>
      </w:pPr>
    </w:p>
    <w:p w14:paraId="66E89E84">
      <w:pPr>
        <w:spacing w:line="400" w:lineRule="exact"/>
        <w:rPr>
          <w:rFonts w:hint="default" w:ascii="Times New Roman" w:hAnsi="Times New Roman" w:eastAsia="黑体" w:cs="Times New Roman"/>
          <w:sz w:val="20"/>
          <w:szCs w:val="20"/>
        </w:rPr>
      </w:pPr>
    </w:p>
    <w:p w14:paraId="4D8CCFD6">
      <w:pPr>
        <w:spacing w:line="400" w:lineRule="exact"/>
        <w:rPr>
          <w:rFonts w:hint="default" w:ascii="Times New Roman" w:hAnsi="Times New Roman" w:eastAsia="黑体" w:cs="Times New Roman"/>
          <w:sz w:val="20"/>
          <w:szCs w:val="20"/>
        </w:rPr>
      </w:pPr>
    </w:p>
    <w:p w14:paraId="39DCBFC7">
      <w:pPr>
        <w:spacing w:line="400" w:lineRule="exact"/>
        <w:rPr>
          <w:rFonts w:hint="default" w:ascii="Times New Roman" w:hAnsi="Times New Roman" w:eastAsia="黑体" w:cs="Times New Roman"/>
          <w:sz w:val="20"/>
          <w:szCs w:val="20"/>
        </w:rPr>
      </w:pPr>
    </w:p>
    <w:p w14:paraId="749E6818">
      <w:pPr>
        <w:spacing w:line="400" w:lineRule="exact"/>
        <w:rPr>
          <w:rFonts w:hint="default" w:ascii="Times New Roman" w:hAnsi="Times New Roman" w:eastAsia="黑体" w:cs="Times New Roman"/>
          <w:sz w:val="20"/>
          <w:szCs w:val="20"/>
        </w:rPr>
      </w:pPr>
    </w:p>
    <w:p w14:paraId="22E17923">
      <w:pPr>
        <w:spacing w:line="400" w:lineRule="exact"/>
        <w:rPr>
          <w:rFonts w:hint="default" w:ascii="Times New Roman" w:hAnsi="Times New Roman" w:eastAsia="黑体" w:cs="Times New Roman"/>
          <w:sz w:val="20"/>
          <w:szCs w:val="20"/>
        </w:rPr>
      </w:pPr>
    </w:p>
    <w:p w14:paraId="05312DEC">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三、</w:t>
      </w:r>
      <w:r>
        <w:rPr>
          <w:rFonts w:hint="default" w:ascii="Times New Roman" w:hAnsi="Times New Roman" w:cs="Times New Roman"/>
        </w:rPr>
        <w:t>联合体协议书</w:t>
      </w:r>
    </w:p>
    <w:p w14:paraId="1F871FD6">
      <w:pPr>
        <w:topLinePunct/>
        <w:spacing w:line="440" w:lineRule="exact"/>
        <w:ind w:firstLine="420" w:firstLineChars="200"/>
        <w:jc w:val="center"/>
        <w:rPr>
          <w:rFonts w:hint="eastAsia" w:ascii="Times New Roman" w:hAnsi="Times New Roman" w:cs="Times New Roman"/>
          <w:szCs w:val="21"/>
          <w:lang w:val="en-US" w:eastAsia="zh-CN"/>
        </w:rPr>
      </w:pPr>
      <w:bookmarkStart w:id="271" w:name="_Toc247527834"/>
      <w:bookmarkStart w:id="272" w:name="_Toc144974862"/>
      <w:bookmarkStart w:id="273" w:name="_Toc300835216"/>
      <w:bookmarkStart w:id="274" w:name="_Toc152042583"/>
      <w:bookmarkStart w:id="275" w:name="_Toc247514286"/>
      <w:bookmarkStart w:id="276" w:name="_Toc152045794"/>
      <w:r>
        <w:rPr>
          <w:rFonts w:hint="eastAsia" w:ascii="Times New Roman" w:hAnsi="Times New Roman" w:cs="Times New Roman"/>
          <w:szCs w:val="21"/>
          <w:lang w:val="en-US" w:eastAsia="zh-CN"/>
        </w:rPr>
        <w:t>（</w:t>
      </w:r>
      <w:r>
        <w:rPr>
          <w:rFonts w:hint="eastAsia" w:ascii="Times New Roman" w:hAnsi="Times New Roman" w:cs="Times New Roman"/>
          <w:b/>
          <w:bCs/>
          <w:color w:val="FF0000"/>
          <w:szCs w:val="21"/>
          <w:lang w:val="en-US" w:eastAsia="zh-CN"/>
        </w:rPr>
        <w:t>适用于供应商组成联合体的情况</w:t>
      </w:r>
      <w:r>
        <w:rPr>
          <w:rFonts w:hint="eastAsia" w:ascii="Times New Roman" w:hAnsi="Times New Roman" w:cs="Times New Roman"/>
          <w:szCs w:val="21"/>
          <w:lang w:val="en-US" w:eastAsia="zh-CN"/>
        </w:rPr>
        <w:t>）</w:t>
      </w:r>
    </w:p>
    <w:p w14:paraId="33B1979B">
      <w:pPr>
        <w:topLinePunct/>
        <w:spacing w:line="440" w:lineRule="exact"/>
        <w:ind w:firstLine="420" w:firstLineChars="200"/>
        <w:rPr>
          <w:rFonts w:hint="eastAsia" w:ascii="Times New Roman" w:hAnsi="Times New Roman" w:cs="Times New Roman"/>
          <w:szCs w:val="21"/>
          <w:u w:val="single"/>
          <w:lang w:val="en-US" w:eastAsia="zh-CN"/>
        </w:rPr>
      </w:pPr>
    </w:p>
    <w:p w14:paraId="4086F19E">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（所有成员单位名称）自愿组成</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（联合体名称）联合体，共同参加</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（项目名称）采购活动。现就联合体事宜订立如下协议。</w:t>
      </w:r>
    </w:p>
    <w:p w14:paraId="5AB1CCD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 xml:space="preserve">（某成员单位名称）为 </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（联合体名称）牵头人。</w:t>
      </w:r>
    </w:p>
    <w:p w14:paraId="41271322">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2、联合体各成员授权牵头人代表联合体参加询比采购活动，签署文件，递交和接 收相关的资料、信息及指示，进行合同谈判活动，负责合同实施阶段的组织和协调工作，以及处理与本采购项目有关的 一切事宜。</w:t>
      </w:r>
    </w:p>
    <w:p w14:paraId="41D86FEB">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3、联合体牵头人在本项目中签署的一切文件和处理的一切事宜，联合体各成员均  予以承认。联合体各成员将严格按照采购文件、响应文件和合同的要求全面履行义务， 并向采购人承担连带责任。</w:t>
      </w:r>
    </w:p>
    <w:p w14:paraId="76B48BA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 联合体各方承诺不以自己名义单独或参加其他联合体参与本询比采购项目。</w:t>
      </w:r>
    </w:p>
    <w:p w14:paraId="52BE6C03">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5、联合体各成员单位内部的职责分工如下：</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 xml:space="preserve">。 </w:t>
      </w:r>
    </w:p>
    <w:p w14:paraId="2DAF6EA4">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6、本协议书自签署之日起生效，合同履行完毕后自动失效。</w:t>
      </w:r>
    </w:p>
    <w:p w14:paraId="5599CB47">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7、本协议书一式</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份，联合体成员和采购人各执一份。</w:t>
      </w:r>
    </w:p>
    <w:p w14:paraId="7275E2F8">
      <w:pPr>
        <w:topLinePunct/>
        <w:spacing w:line="440" w:lineRule="exact"/>
        <w:ind w:firstLine="420" w:firstLineChars="200"/>
        <w:rPr>
          <w:rFonts w:hint="eastAsia" w:ascii="Times New Roman" w:hAnsi="Times New Roman" w:cs="Times New Roman"/>
          <w:szCs w:val="21"/>
          <w:lang w:val="en-US" w:eastAsia="zh-CN"/>
        </w:rPr>
      </w:pPr>
    </w:p>
    <w:p w14:paraId="429563FE">
      <w:pPr>
        <w:topLinePunct/>
        <w:spacing w:line="440" w:lineRule="exact"/>
        <w:ind w:firstLine="420" w:firstLineChars="200"/>
        <w:jc w:val="right"/>
        <w:rPr>
          <w:rFonts w:hint="eastAsia" w:ascii="Times New Roman" w:hAnsi="Times New Roman" w:cs="Times New Roman"/>
          <w:szCs w:val="21"/>
          <w:lang w:val="en-US" w:eastAsia="zh-CN"/>
        </w:rPr>
      </w:pPr>
    </w:p>
    <w:p w14:paraId="6637647F">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牵头人名称：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454F481C">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5FF9CF57">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成员一名称：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61FFB812">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479D79AA">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p w14:paraId="2CEE55D5">
      <w:pPr>
        <w:topLinePunct/>
        <w:spacing w:line="440" w:lineRule="exact"/>
        <w:ind w:firstLine="420" w:firstLineChars="20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                                 </w:t>
      </w:r>
    </w:p>
    <w:p w14:paraId="1637EAA4">
      <w:pPr>
        <w:topLinePunct/>
        <w:spacing w:line="440" w:lineRule="exact"/>
        <w:ind w:firstLine="420" w:firstLineChars="200"/>
        <w:jc w:val="center"/>
        <w:rPr>
          <w:rFonts w:hint="eastAsia" w:ascii="Times New Roman" w:hAnsi="Times New Roman" w:cs="Times New Roman"/>
          <w:szCs w:val="21"/>
          <w:lang w:val="en-US" w:eastAsia="zh-CN"/>
        </w:rPr>
      </w:pPr>
    </w:p>
    <w:p w14:paraId="429B5717">
      <w:pPr>
        <w:topLinePunct/>
        <w:spacing w:line="440" w:lineRule="exact"/>
        <w:ind w:firstLine="420" w:firstLineChars="200"/>
        <w:jc w:val="center"/>
        <w:rPr>
          <w:rFonts w:hint="eastAsia" w:ascii="Times New Roman" w:hAnsi="Times New Roman" w:cs="Times New Roman"/>
          <w:szCs w:val="21"/>
          <w:lang w:val="en-US" w:eastAsia="zh-CN"/>
        </w:rPr>
      </w:pPr>
    </w:p>
    <w:p w14:paraId="50F5E7D3">
      <w:pPr>
        <w:topLinePunct/>
        <w:spacing w:line="440" w:lineRule="exact"/>
        <w:ind w:firstLine="420" w:firstLineChars="200"/>
        <w:jc w:val="center"/>
        <w:rPr>
          <w:rFonts w:hint="eastAsia" w:ascii="Times New Roman" w:hAnsi="Times New Roman" w:cs="Times New Roman"/>
          <w:szCs w:val="21"/>
          <w:lang w:val="en-US" w:eastAsia="zh-CN"/>
        </w:rPr>
      </w:pPr>
    </w:p>
    <w:p w14:paraId="63CAEE47">
      <w:pPr>
        <w:topLinePunct/>
        <w:spacing w:line="440" w:lineRule="exact"/>
        <w:ind w:firstLine="420" w:firstLineChars="200"/>
        <w:jc w:val="center"/>
        <w:rPr>
          <w:rFonts w:hint="eastAsia" w:ascii="Times New Roman" w:hAnsi="Times New Roman" w:cs="Times New Roman"/>
          <w:szCs w:val="21"/>
          <w:lang w:val="en-US" w:eastAsia="zh-CN"/>
        </w:rPr>
      </w:pPr>
    </w:p>
    <w:p w14:paraId="33D9A12C">
      <w:pPr>
        <w:topLinePunct/>
        <w:spacing w:line="440" w:lineRule="exact"/>
        <w:ind w:firstLine="420" w:firstLineChars="200"/>
        <w:jc w:val="center"/>
        <w:rPr>
          <w:rFonts w:hint="eastAsia" w:ascii="Times New Roman" w:hAnsi="Times New Roman" w:cs="Times New Roman"/>
          <w:szCs w:val="21"/>
          <w:lang w:val="en-US" w:eastAsia="zh-CN"/>
        </w:rPr>
      </w:pPr>
    </w:p>
    <w:p w14:paraId="2E07687B">
      <w:pPr>
        <w:topLinePunct/>
        <w:spacing w:line="440" w:lineRule="exact"/>
        <w:ind w:firstLine="420" w:firstLineChars="200"/>
        <w:jc w:val="center"/>
        <w:rPr>
          <w:rFonts w:hint="eastAsia" w:ascii="Times New Roman" w:hAnsi="Times New Roman" w:cs="Times New Roman"/>
          <w:szCs w:val="21"/>
          <w:lang w:val="en-US" w:eastAsia="zh-CN"/>
        </w:rPr>
      </w:pPr>
    </w:p>
    <w:p w14:paraId="5D23D3DA">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四</w:t>
      </w:r>
      <w:r>
        <w:rPr>
          <w:rFonts w:hint="default" w:ascii="Times New Roman" w:hAnsi="Times New Roman" w:cs="Times New Roman"/>
        </w:rPr>
        <w:t>、</w:t>
      </w:r>
      <w:r>
        <w:rPr>
          <w:rFonts w:hint="eastAsia" w:ascii="Times New Roman" w:hAnsi="Times New Roman" w:cs="Times New Roman"/>
          <w:lang w:val="en-US" w:eastAsia="zh-CN"/>
        </w:rPr>
        <w:t>响应</w:t>
      </w:r>
      <w:r>
        <w:rPr>
          <w:rFonts w:hint="default" w:ascii="Times New Roman" w:hAnsi="Times New Roman" w:cs="Times New Roman"/>
        </w:rPr>
        <w:t>保证金</w:t>
      </w:r>
      <w:bookmarkEnd w:id="271"/>
      <w:bookmarkEnd w:id="272"/>
      <w:bookmarkEnd w:id="273"/>
      <w:bookmarkEnd w:id="274"/>
      <w:bookmarkEnd w:id="275"/>
      <w:bookmarkEnd w:id="276"/>
    </w:p>
    <w:p w14:paraId="402C68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bookmarkStart w:id="277" w:name="_Toc296602998"/>
      <w:r>
        <w:rPr>
          <w:rFonts w:hint="default" w:ascii="Times New Roman" w:hAnsi="Times New Roman" w:cs="Times New Roman" w:eastAsiaTheme="minorEastAsia"/>
          <w:b w:val="0"/>
          <w:bCs/>
          <w:color w:val="000000"/>
          <w:kern w:val="0"/>
          <w:sz w:val="24"/>
          <w:szCs w:val="24"/>
          <w:highlight w:val="none"/>
        </w:rPr>
        <w:t>1</w:t>
      </w:r>
      <w:r>
        <w:rPr>
          <w:rFonts w:hint="default" w:ascii="Times New Roman" w:hAnsi="Times New Roman" w:cs="Times New Roman" w:eastAsiaTheme="minorEastAsia"/>
          <w:b w:val="0"/>
          <w:bCs/>
          <w:color w:val="000000"/>
          <w:kern w:val="0"/>
          <w:sz w:val="24"/>
          <w:szCs w:val="24"/>
          <w:highlight w:val="none"/>
          <w:lang w:val="en-US" w:eastAsia="zh-CN"/>
        </w:rPr>
        <w:t>.</w:t>
      </w:r>
      <w:r>
        <w:rPr>
          <w:rFonts w:hint="eastAsia" w:ascii="Times New Roman" w:hAnsi="Times New Roman" w:cs="Times New Roman"/>
          <w:b w:val="0"/>
          <w:bCs/>
          <w:color w:val="000000"/>
          <w:kern w:val="0"/>
          <w:sz w:val="24"/>
          <w:szCs w:val="24"/>
          <w:highlight w:val="none"/>
          <w:lang w:val="en-US" w:eastAsia="zh-CN"/>
        </w:rPr>
        <w:t>中国</w:t>
      </w:r>
      <w:r>
        <w:rPr>
          <w:rFonts w:hint="default" w:ascii="Times New Roman" w:hAnsi="Times New Roman" w:cs="Times New Roman" w:eastAsiaTheme="minorEastAsia"/>
          <w:b w:val="0"/>
          <w:bCs/>
          <w:color w:val="000000"/>
          <w:kern w:val="0"/>
          <w:sz w:val="24"/>
          <w:szCs w:val="24"/>
          <w:highlight w:val="none"/>
        </w:rPr>
        <w:t>人民银行核发的《基本存款账户开户许可证》或基本存款账户开户银行出具的《基本存款账户信息》（加盖银行印章</w:t>
      </w:r>
      <w:r>
        <w:rPr>
          <w:rFonts w:hint="eastAsia" w:ascii="Times New Roman" w:hAnsi="Times New Roman" w:cs="Times New Roman"/>
          <w:b w:val="0"/>
          <w:bCs/>
          <w:color w:val="000000"/>
          <w:kern w:val="0"/>
          <w:sz w:val="24"/>
          <w:szCs w:val="24"/>
          <w:highlight w:val="none"/>
          <w:lang w:val="en-US" w:eastAsia="zh-CN"/>
        </w:rPr>
        <w:t>或供应商公章</w:t>
      </w:r>
      <w:r>
        <w:rPr>
          <w:rFonts w:hint="default" w:ascii="Times New Roman" w:hAnsi="Times New Roman" w:cs="Times New Roman" w:eastAsiaTheme="minorEastAsia"/>
          <w:b w:val="0"/>
          <w:bCs/>
          <w:color w:val="000000"/>
          <w:kern w:val="0"/>
          <w:sz w:val="24"/>
          <w:szCs w:val="24"/>
          <w:highlight w:val="none"/>
        </w:rPr>
        <w:t>）：</w:t>
      </w:r>
    </w:p>
    <w:p w14:paraId="22F68CD7">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7DE172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400DA4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DB7A420">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48E7EE72">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r>
        <w:rPr>
          <w:rFonts w:hint="default" w:ascii="Times New Roman" w:hAnsi="Times New Roman" w:cs="Times New Roman" w:eastAsiaTheme="minorEastAsia"/>
          <w:b w:val="0"/>
          <w:bCs/>
          <w:color w:val="000000"/>
          <w:kern w:val="0"/>
          <w:sz w:val="24"/>
          <w:szCs w:val="24"/>
          <w:highlight w:val="none"/>
        </w:rPr>
        <w:t>2.保证金转账或电汇凭证：</w:t>
      </w:r>
    </w:p>
    <w:p w14:paraId="675D8FF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6DD74EB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7A6A42EE">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32E55F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0B97DB75">
      <w:pPr>
        <w:spacing w:line="440" w:lineRule="exact"/>
        <w:ind w:firstLine="482" w:firstLineChars="200"/>
        <w:rPr>
          <w:rFonts w:ascii="Times New Roman" w:hAnsi="Times New Roman"/>
          <w:szCs w:val="21"/>
          <w:highlight w:val="yellow"/>
        </w:rPr>
      </w:pPr>
      <w:r>
        <w:rPr>
          <w:rFonts w:hint="default" w:ascii="Times New Roman" w:hAnsi="Times New Roman" w:cs="Times New Roman" w:eastAsiaTheme="minorEastAsia"/>
          <w:b/>
          <w:color w:val="000000"/>
          <w:kern w:val="0"/>
          <w:sz w:val="24"/>
          <w:szCs w:val="24"/>
          <w:highlight w:val="none"/>
        </w:rPr>
        <w:t>备注：</w:t>
      </w:r>
      <w:r>
        <w:rPr>
          <w:rFonts w:hint="default" w:ascii="Times New Roman" w:hAnsi="Times New Roman" w:cs="Times New Roman" w:eastAsiaTheme="minorEastAsia"/>
          <w:color w:val="000000"/>
          <w:kern w:val="0"/>
          <w:sz w:val="24"/>
          <w:szCs w:val="24"/>
          <w:highlight w:val="none"/>
        </w:rPr>
        <w:t>缴纳保证金的开户行、账号等信息须与基本存款账户信息一致</w:t>
      </w:r>
    </w:p>
    <w:p w14:paraId="6A5946BD">
      <w:pPr>
        <w:spacing w:line="440" w:lineRule="exact"/>
        <w:rPr>
          <w:rFonts w:hint="default" w:ascii="Times New Roman" w:hAnsi="Times New Roman" w:cs="Times New Roman"/>
          <w:b/>
          <w:bCs/>
        </w:rPr>
      </w:pPr>
    </w:p>
    <w:bookmarkEnd w:id="277"/>
    <w:p w14:paraId="19A18FFC">
      <w:pPr>
        <w:rPr>
          <w:rFonts w:hint="default" w:ascii="Times New Roman" w:hAnsi="Times New Roman" w:cs="Times New Roman"/>
        </w:rPr>
      </w:pPr>
      <w:bookmarkStart w:id="278" w:name="_Toc152045795"/>
      <w:bookmarkStart w:id="279" w:name="_Toc144974863"/>
      <w:bookmarkStart w:id="280" w:name="_Toc300835218"/>
      <w:bookmarkStart w:id="281" w:name="_Toc247514287"/>
      <w:bookmarkStart w:id="282" w:name="_Toc152042584"/>
      <w:bookmarkStart w:id="283" w:name="_Toc247527835"/>
      <w:r>
        <w:rPr>
          <w:rFonts w:hint="default" w:ascii="Times New Roman" w:hAnsi="Times New Roman" w:cs="Times New Roman"/>
        </w:rPr>
        <w:br w:type="page"/>
      </w:r>
    </w:p>
    <w:p w14:paraId="3C347A40">
      <w:pPr>
        <w:spacing w:before="114" w:line="221" w:lineRule="auto"/>
        <w:jc w:val="center"/>
        <w:rPr>
          <w:rFonts w:ascii="黑体" w:hAnsi="黑体" w:eastAsia="黑体" w:cs="黑体"/>
          <w:sz w:val="35"/>
          <w:szCs w:val="35"/>
        </w:rPr>
      </w:pPr>
      <w:r>
        <w:rPr>
          <w:rFonts w:ascii="黑体" w:hAnsi="黑体" w:eastAsia="黑体" w:cs="黑体"/>
          <w:b/>
          <w:bCs/>
          <w:spacing w:val="-2"/>
          <w:sz w:val="35"/>
          <w:szCs w:val="35"/>
        </w:rPr>
        <w:t>五、商务和技术偏差表</w:t>
      </w:r>
    </w:p>
    <w:p w14:paraId="663ACC7C">
      <w:pPr>
        <w:spacing w:before="53"/>
        <w:jc w:val="center"/>
        <w:rPr>
          <w:rFonts w:hint="default" w:eastAsiaTheme="minorEastAsia"/>
          <w:lang w:val="en-US" w:eastAsia="zh-CN"/>
        </w:rPr>
      </w:pPr>
      <w:r>
        <w:rPr>
          <w:rFonts w:hint="eastAsia"/>
          <w:b/>
          <w:bCs/>
          <w:color w:val="FF0000"/>
          <w:lang w:val="en-US" w:eastAsia="zh-CN"/>
        </w:rPr>
        <w:t>（注：供应商根据询比公告/邀请书要求按需填写，如无要求，可不填写。）</w:t>
      </w:r>
    </w:p>
    <w:p w14:paraId="575FD0C8">
      <w:pPr>
        <w:spacing w:before="53"/>
      </w:pPr>
    </w:p>
    <w:tbl>
      <w:tblPr>
        <w:tblStyle w:val="30"/>
        <w:tblW w:w="906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3106"/>
        <w:gridCol w:w="3117"/>
        <w:gridCol w:w="1713"/>
      </w:tblGrid>
      <w:tr w14:paraId="7314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24" w:type="dxa"/>
            <w:vAlign w:val="top"/>
          </w:tcPr>
          <w:p w14:paraId="315F8E2C">
            <w:pPr>
              <w:pStyle w:val="29"/>
              <w:spacing w:before="174" w:line="221" w:lineRule="auto"/>
              <w:ind w:left="344"/>
              <w:rPr>
                <w:sz w:val="21"/>
                <w:szCs w:val="21"/>
              </w:rPr>
            </w:pPr>
            <w:r>
              <w:rPr>
                <w:spacing w:val="6"/>
                <w:sz w:val="21"/>
                <w:szCs w:val="21"/>
              </w:rPr>
              <w:t>序号</w:t>
            </w:r>
          </w:p>
        </w:tc>
        <w:tc>
          <w:tcPr>
            <w:tcW w:w="3106" w:type="dxa"/>
            <w:vAlign w:val="top"/>
          </w:tcPr>
          <w:p w14:paraId="41B11741">
            <w:pPr>
              <w:pStyle w:val="29"/>
              <w:spacing w:before="172" w:line="219" w:lineRule="auto"/>
              <w:ind w:left="511"/>
              <w:rPr>
                <w:sz w:val="21"/>
                <w:szCs w:val="21"/>
              </w:rPr>
            </w:pPr>
            <w:r>
              <w:rPr>
                <w:spacing w:val="1"/>
                <w:sz w:val="21"/>
                <w:szCs w:val="21"/>
              </w:rPr>
              <w:t>采购文件章节及条款号</w:t>
            </w:r>
          </w:p>
        </w:tc>
        <w:tc>
          <w:tcPr>
            <w:tcW w:w="3117" w:type="dxa"/>
            <w:vAlign w:val="top"/>
          </w:tcPr>
          <w:p w14:paraId="30CF94E4">
            <w:pPr>
              <w:pStyle w:val="29"/>
              <w:spacing w:before="172" w:line="219" w:lineRule="auto"/>
              <w:ind w:left="524"/>
              <w:rPr>
                <w:sz w:val="21"/>
                <w:szCs w:val="21"/>
              </w:rPr>
            </w:pPr>
            <w:r>
              <w:rPr>
                <w:spacing w:val="1"/>
                <w:sz w:val="21"/>
                <w:szCs w:val="21"/>
              </w:rPr>
              <w:t>响应文件章节及条款号</w:t>
            </w:r>
          </w:p>
        </w:tc>
        <w:tc>
          <w:tcPr>
            <w:tcW w:w="1713" w:type="dxa"/>
            <w:vAlign w:val="top"/>
          </w:tcPr>
          <w:p w14:paraId="4DA0E2C0">
            <w:pPr>
              <w:pStyle w:val="29"/>
              <w:spacing w:before="173" w:line="219" w:lineRule="auto"/>
              <w:ind w:left="417"/>
              <w:rPr>
                <w:sz w:val="21"/>
                <w:szCs w:val="21"/>
              </w:rPr>
            </w:pPr>
            <w:r>
              <w:rPr>
                <w:spacing w:val="5"/>
                <w:sz w:val="21"/>
                <w:szCs w:val="21"/>
              </w:rPr>
              <w:t>偏差说明</w:t>
            </w:r>
          </w:p>
        </w:tc>
      </w:tr>
      <w:tr w14:paraId="7BF79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71C86BA5">
            <w:pPr>
              <w:pStyle w:val="29"/>
              <w:spacing w:before="233" w:line="184" w:lineRule="auto"/>
              <w:ind w:left="495"/>
              <w:rPr>
                <w:sz w:val="21"/>
                <w:szCs w:val="21"/>
              </w:rPr>
            </w:pPr>
            <w:r>
              <w:rPr>
                <w:sz w:val="21"/>
                <w:szCs w:val="21"/>
              </w:rPr>
              <w:t>1</w:t>
            </w:r>
          </w:p>
        </w:tc>
        <w:tc>
          <w:tcPr>
            <w:tcW w:w="3106" w:type="dxa"/>
            <w:vAlign w:val="top"/>
          </w:tcPr>
          <w:p w14:paraId="24CB8EE5">
            <w:pPr>
              <w:rPr>
                <w:rFonts w:ascii="Arial"/>
                <w:sz w:val="21"/>
              </w:rPr>
            </w:pPr>
          </w:p>
        </w:tc>
        <w:tc>
          <w:tcPr>
            <w:tcW w:w="3117" w:type="dxa"/>
            <w:vAlign w:val="top"/>
          </w:tcPr>
          <w:p w14:paraId="60F944A9">
            <w:pPr>
              <w:rPr>
                <w:rFonts w:ascii="Arial"/>
                <w:sz w:val="21"/>
              </w:rPr>
            </w:pPr>
          </w:p>
        </w:tc>
        <w:tc>
          <w:tcPr>
            <w:tcW w:w="1713" w:type="dxa"/>
            <w:vAlign w:val="top"/>
          </w:tcPr>
          <w:p w14:paraId="664E1077">
            <w:pPr>
              <w:rPr>
                <w:rFonts w:ascii="Arial"/>
                <w:sz w:val="21"/>
              </w:rPr>
            </w:pPr>
          </w:p>
        </w:tc>
      </w:tr>
      <w:tr w14:paraId="5BFF9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1DABE844">
            <w:pPr>
              <w:pStyle w:val="29"/>
              <w:spacing w:before="235" w:line="183" w:lineRule="auto"/>
              <w:ind w:left="495"/>
              <w:rPr>
                <w:sz w:val="21"/>
                <w:szCs w:val="21"/>
              </w:rPr>
            </w:pPr>
            <w:r>
              <w:rPr>
                <w:sz w:val="21"/>
                <w:szCs w:val="21"/>
              </w:rPr>
              <w:t>2</w:t>
            </w:r>
          </w:p>
        </w:tc>
        <w:tc>
          <w:tcPr>
            <w:tcW w:w="3106" w:type="dxa"/>
            <w:vAlign w:val="top"/>
          </w:tcPr>
          <w:p w14:paraId="75E71A7B">
            <w:pPr>
              <w:rPr>
                <w:rFonts w:ascii="Arial"/>
                <w:sz w:val="21"/>
              </w:rPr>
            </w:pPr>
          </w:p>
        </w:tc>
        <w:tc>
          <w:tcPr>
            <w:tcW w:w="3117" w:type="dxa"/>
            <w:vAlign w:val="top"/>
          </w:tcPr>
          <w:p w14:paraId="42E9B417">
            <w:pPr>
              <w:rPr>
                <w:rFonts w:ascii="Arial"/>
                <w:sz w:val="21"/>
              </w:rPr>
            </w:pPr>
          </w:p>
        </w:tc>
        <w:tc>
          <w:tcPr>
            <w:tcW w:w="1713" w:type="dxa"/>
            <w:vAlign w:val="top"/>
          </w:tcPr>
          <w:p w14:paraId="225DE381">
            <w:pPr>
              <w:rPr>
                <w:rFonts w:ascii="Arial"/>
                <w:sz w:val="21"/>
              </w:rPr>
            </w:pPr>
          </w:p>
        </w:tc>
      </w:tr>
      <w:tr w14:paraId="21FBB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0A41FA64">
            <w:pPr>
              <w:pStyle w:val="29"/>
              <w:spacing w:before="236" w:line="183" w:lineRule="auto"/>
              <w:ind w:left="495"/>
              <w:rPr>
                <w:sz w:val="21"/>
                <w:szCs w:val="21"/>
              </w:rPr>
            </w:pPr>
            <w:r>
              <w:rPr>
                <w:sz w:val="21"/>
                <w:szCs w:val="21"/>
              </w:rPr>
              <w:t>3</w:t>
            </w:r>
          </w:p>
        </w:tc>
        <w:tc>
          <w:tcPr>
            <w:tcW w:w="3106" w:type="dxa"/>
            <w:vAlign w:val="top"/>
          </w:tcPr>
          <w:p w14:paraId="35927806">
            <w:pPr>
              <w:rPr>
                <w:rFonts w:ascii="Arial"/>
                <w:sz w:val="21"/>
              </w:rPr>
            </w:pPr>
          </w:p>
        </w:tc>
        <w:tc>
          <w:tcPr>
            <w:tcW w:w="3117" w:type="dxa"/>
            <w:vAlign w:val="top"/>
          </w:tcPr>
          <w:p w14:paraId="51A99220">
            <w:pPr>
              <w:rPr>
                <w:rFonts w:ascii="Arial"/>
                <w:sz w:val="21"/>
              </w:rPr>
            </w:pPr>
          </w:p>
        </w:tc>
        <w:tc>
          <w:tcPr>
            <w:tcW w:w="1713" w:type="dxa"/>
            <w:vAlign w:val="top"/>
          </w:tcPr>
          <w:p w14:paraId="52F72B7E">
            <w:pPr>
              <w:rPr>
                <w:rFonts w:ascii="Arial"/>
                <w:sz w:val="21"/>
              </w:rPr>
            </w:pPr>
          </w:p>
        </w:tc>
      </w:tr>
      <w:tr w14:paraId="4D907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24" w:type="dxa"/>
            <w:vAlign w:val="top"/>
          </w:tcPr>
          <w:p w14:paraId="71515F75">
            <w:pPr>
              <w:pStyle w:val="29"/>
              <w:spacing w:before="227" w:line="183" w:lineRule="auto"/>
              <w:ind w:left="495"/>
              <w:rPr>
                <w:sz w:val="21"/>
                <w:szCs w:val="21"/>
              </w:rPr>
            </w:pPr>
            <w:r>
              <w:rPr>
                <w:sz w:val="21"/>
                <w:szCs w:val="21"/>
              </w:rPr>
              <w:t>4</w:t>
            </w:r>
          </w:p>
        </w:tc>
        <w:tc>
          <w:tcPr>
            <w:tcW w:w="3106" w:type="dxa"/>
            <w:vAlign w:val="top"/>
          </w:tcPr>
          <w:p w14:paraId="0C7A0260">
            <w:pPr>
              <w:rPr>
                <w:rFonts w:ascii="Arial"/>
                <w:sz w:val="21"/>
              </w:rPr>
            </w:pPr>
          </w:p>
        </w:tc>
        <w:tc>
          <w:tcPr>
            <w:tcW w:w="3117" w:type="dxa"/>
            <w:vAlign w:val="top"/>
          </w:tcPr>
          <w:p w14:paraId="554CEA30">
            <w:pPr>
              <w:rPr>
                <w:rFonts w:ascii="Arial"/>
                <w:sz w:val="21"/>
              </w:rPr>
            </w:pPr>
          </w:p>
        </w:tc>
        <w:tc>
          <w:tcPr>
            <w:tcW w:w="1713" w:type="dxa"/>
            <w:vAlign w:val="top"/>
          </w:tcPr>
          <w:p w14:paraId="60065D2F">
            <w:pPr>
              <w:rPr>
                <w:rFonts w:ascii="Arial"/>
                <w:sz w:val="21"/>
              </w:rPr>
            </w:pPr>
          </w:p>
        </w:tc>
      </w:tr>
      <w:tr w14:paraId="2A472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24" w:type="dxa"/>
            <w:vAlign w:val="top"/>
          </w:tcPr>
          <w:p w14:paraId="02171320">
            <w:pPr>
              <w:pStyle w:val="29"/>
              <w:spacing w:before="241" w:line="182" w:lineRule="auto"/>
              <w:ind w:left="495"/>
              <w:rPr>
                <w:sz w:val="21"/>
                <w:szCs w:val="21"/>
              </w:rPr>
            </w:pPr>
            <w:r>
              <w:rPr>
                <w:sz w:val="21"/>
                <w:szCs w:val="21"/>
              </w:rPr>
              <w:t>5</w:t>
            </w:r>
          </w:p>
        </w:tc>
        <w:tc>
          <w:tcPr>
            <w:tcW w:w="3106" w:type="dxa"/>
            <w:vAlign w:val="top"/>
          </w:tcPr>
          <w:p w14:paraId="640EA92A">
            <w:pPr>
              <w:rPr>
                <w:rFonts w:ascii="Arial"/>
                <w:sz w:val="21"/>
              </w:rPr>
            </w:pPr>
          </w:p>
        </w:tc>
        <w:tc>
          <w:tcPr>
            <w:tcW w:w="3117" w:type="dxa"/>
            <w:vAlign w:val="top"/>
          </w:tcPr>
          <w:p w14:paraId="56030B64">
            <w:pPr>
              <w:rPr>
                <w:rFonts w:ascii="Arial"/>
                <w:sz w:val="21"/>
              </w:rPr>
            </w:pPr>
          </w:p>
        </w:tc>
        <w:tc>
          <w:tcPr>
            <w:tcW w:w="1713" w:type="dxa"/>
            <w:vAlign w:val="top"/>
          </w:tcPr>
          <w:p w14:paraId="719EE152">
            <w:pPr>
              <w:rPr>
                <w:rFonts w:ascii="Arial"/>
                <w:sz w:val="21"/>
              </w:rPr>
            </w:pPr>
          </w:p>
        </w:tc>
      </w:tr>
      <w:tr w14:paraId="11E51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24" w:type="dxa"/>
            <w:vAlign w:val="top"/>
          </w:tcPr>
          <w:p w14:paraId="431C7450">
            <w:pPr>
              <w:pStyle w:val="29"/>
              <w:spacing w:before="198" w:line="331" w:lineRule="exact"/>
              <w:ind w:left="344"/>
              <w:rPr>
                <w:sz w:val="21"/>
                <w:szCs w:val="21"/>
              </w:rPr>
            </w:pPr>
            <w:r>
              <w:rPr>
                <w:spacing w:val="-6"/>
                <w:position w:val="2"/>
                <w:sz w:val="21"/>
                <w:szCs w:val="21"/>
              </w:rPr>
              <w:t>……</w:t>
            </w:r>
          </w:p>
        </w:tc>
        <w:tc>
          <w:tcPr>
            <w:tcW w:w="3106" w:type="dxa"/>
            <w:vAlign w:val="top"/>
          </w:tcPr>
          <w:p w14:paraId="4B138A17">
            <w:pPr>
              <w:rPr>
                <w:rFonts w:ascii="Arial"/>
                <w:sz w:val="21"/>
              </w:rPr>
            </w:pPr>
          </w:p>
        </w:tc>
        <w:tc>
          <w:tcPr>
            <w:tcW w:w="3117" w:type="dxa"/>
            <w:vAlign w:val="top"/>
          </w:tcPr>
          <w:p w14:paraId="1CFA5673">
            <w:pPr>
              <w:rPr>
                <w:rFonts w:ascii="Arial"/>
                <w:sz w:val="21"/>
              </w:rPr>
            </w:pPr>
          </w:p>
        </w:tc>
        <w:tc>
          <w:tcPr>
            <w:tcW w:w="1713" w:type="dxa"/>
            <w:vAlign w:val="top"/>
          </w:tcPr>
          <w:p w14:paraId="4ED4B466">
            <w:pPr>
              <w:rPr>
                <w:rFonts w:ascii="Arial"/>
                <w:sz w:val="21"/>
              </w:rPr>
            </w:pPr>
          </w:p>
        </w:tc>
      </w:tr>
    </w:tbl>
    <w:p w14:paraId="1F38A81A">
      <w:pPr>
        <w:pStyle w:val="7"/>
        <w:spacing w:line="252" w:lineRule="auto"/>
      </w:pPr>
    </w:p>
    <w:p w14:paraId="109CB59D">
      <w:pPr>
        <w:spacing w:before="81" w:line="332" w:lineRule="auto"/>
        <w:ind w:right="11" w:firstLine="500"/>
        <w:rPr>
          <w:rFonts w:ascii="宋体" w:hAnsi="宋体" w:eastAsia="宋体" w:cs="宋体"/>
          <w:spacing w:val="1"/>
          <w:sz w:val="25"/>
          <w:szCs w:val="25"/>
        </w:rPr>
      </w:pPr>
      <w:r>
        <w:rPr>
          <w:rFonts w:ascii="宋体" w:hAnsi="宋体" w:eastAsia="宋体" w:cs="宋体"/>
          <w:spacing w:val="2"/>
          <w:sz w:val="25"/>
          <w:szCs w:val="25"/>
        </w:rPr>
        <w:t>供应商保证：除商务和技术偏差表列出的偏差外，供应商响应采</w:t>
      </w:r>
      <w:r>
        <w:rPr>
          <w:rFonts w:ascii="宋体" w:hAnsi="宋体" w:eastAsia="宋体" w:cs="宋体"/>
          <w:spacing w:val="1"/>
          <w:sz w:val="25"/>
          <w:szCs w:val="25"/>
        </w:rPr>
        <w:t>购文件的全部要求。</w:t>
      </w:r>
    </w:p>
    <w:p w14:paraId="5615AE51">
      <w:pPr>
        <w:rPr>
          <w:rFonts w:hint="eastAsia" w:ascii="Times New Roman" w:hAnsi="Times New Roman" w:cs="Times New Roman"/>
          <w:lang w:val="en-US" w:eastAsia="zh-CN"/>
        </w:rPr>
      </w:pPr>
    </w:p>
    <w:p w14:paraId="08C28BE3">
      <w:pPr>
        <w:rPr>
          <w:rFonts w:hint="eastAsia" w:ascii="Times New Roman" w:hAnsi="Times New Roman" w:cs="Times New Roman"/>
          <w:lang w:val="en-US" w:eastAsia="zh-CN"/>
        </w:rPr>
      </w:pPr>
    </w:p>
    <w:p w14:paraId="60392D73">
      <w:pPr>
        <w:rPr>
          <w:rFonts w:hint="eastAsia" w:ascii="Times New Roman" w:hAnsi="Times New Roman" w:cs="Times New Roman"/>
          <w:lang w:val="en-US" w:eastAsia="zh-CN"/>
        </w:rPr>
      </w:pPr>
    </w:p>
    <w:p w14:paraId="314A1D4D">
      <w:pPr>
        <w:rPr>
          <w:rFonts w:hint="eastAsia" w:ascii="Times New Roman" w:hAnsi="Times New Roman" w:cs="Times New Roman"/>
          <w:lang w:val="en-US" w:eastAsia="zh-CN"/>
        </w:rPr>
      </w:pPr>
    </w:p>
    <w:p w14:paraId="24081F9B">
      <w:pPr>
        <w:rPr>
          <w:rFonts w:hint="eastAsia" w:ascii="Times New Roman" w:hAnsi="Times New Roman" w:cs="Times New Roman"/>
          <w:lang w:val="en-US" w:eastAsia="zh-CN"/>
        </w:rPr>
      </w:pPr>
    </w:p>
    <w:p w14:paraId="6FE57AF4">
      <w:pPr>
        <w:rPr>
          <w:rFonts w:hint="eastAsia" w:ascii="Times New Roman" w:hAnsi="Times New Roman" w:cs="Times New Roman"/>
          <w:lang w:val="en-US" w:eastAsia="zh-CN"/>
        </w:rPr>
      </w:pPr>
    </w:p>
    <w:p w14:paraId="7028B682">
      <w:pPr>
        <w:rPr>
          <w:rFonts w:hint="eastAsia" w:ascii="Times New Roman" w:hAnsi="Times New Roman" w:cs="Times New Roman"/>
          <w:lang w:val="en-US" w:eastAsia="zh-CN"/>
        </w:rPr>
      </w:pPr>
    </w:p>
    <w:p w14:paraId="2E096643">
      <w:pPr>
        <w:rPr>
          <w:rFonts w:hint="eastAsia" w:ascii="Times New Roman" w:hAnsi="Times New Roman" w:cs="Times New Roman"/>
          <w:lang w:val="en-US" w:eastAsia="zh-CN"/>
        </w:rPr>
      </w:pPr>
    </w:p>
    <w:p w14:paraId="7F1D3057">
      <w:pPr>
        <w:rPr>
          <w:rFonts w:hint="eastAsia" w:ascii="Times New Roman" w:hAnsi="Times New Roman" w:cs="Times New Roman"/>
          <w:lang w:val="en-US" w:eastAsia="zh-CN"/>
        </w:rPr>
      </w:pPr>
    </w:p>
    <w:p w14:paraId="7B5E2073">
      <w:pPr>
        <w:rPr>
          <w:rFonts w:hint="eastAsia" w:ascii="Times New Roman" w:hAnsi="Times New Roman" w:cs="Times New Roman"/>
          <w:lang w:val="en-US" w:eastAsia="zh-CN"/>
        </w:rPr>
      </w:pPr>
    </w:p>
    <w:p w14:paraId="3E890D62">
      <w:pPr>
        <w:rPr>
          <w:rFonts w:hint="eastAsia" w:ascii="Times New Roman" w:hAnsi="Times New Roman" w:cs="Times New Roman"/>
          <w:lang w:val="en-US" w:eastAsia="zh-CN"/>
        </w:rPr>
      </w:pPr>
    </w:p>
    <w:p w14:paraId="670C7D5B">
      <w:pPr>
        <w:rPr>
          <w:rFonts w:hint="eastAsia" w:ascii="Times New Roman" w:hAnsi="Times New Roman" w:cs="Times New Roman"/>
          <w:lang w:val="en-US" w:eastAsia="zh-CN"/>
        </w:rPr>
      </w:pPr>
    </w:p>
    <w:p w14:paraId="54DBF9CB">
      <w:pPr>
        <w:rPr>
          <w:rFonts w:hint="eastAsia" w:ascii="Times New Roman" w:hAnsi="Times New Roman" w:cs="Times New Roman"/>
          <w:lang w:val="en-US" w:eastAsia="zh-CN"/>
        </w:rPr>
      </w:pPr>
    </w:p>
    <w:p w14:paraId="21129472">
      <w:pPr>
        <w:rPr>
          <w:rFonts w:hint="eastAsia" w:ascii="Times New Roman" w:hAnsi="Times New Roman" w:cs="Times New Roman"/>
          <w:lang w:val="en-US" w:eastAsia="zh-CN"/>
        </w:rPr>
      </w:pPr>
    </w:p>
    <w:p w14:paraId="7A1D1581">
      <w:pPr>
        <w:rPr>
          <w:rFonts w:hint="eastAsia" w:ascii="Times New Roman" w:hAnsi="Times New Roman" w:cs="Times New Roman"/>
          <w:lang w:val="en-US" w:eastAsia="zh-CN"/>
        </w:rPr>
      </w:pPr>
    </w:p>
    <w:p w14:paraId="5FEAA770">
      <w:pPr>
        <w:rPr>
          <w:rFonts w:hint="eastAsia" w:ascii="Times New Roman" w:hAnsi="Times New Roman" w:cs="Times New Roman"/>
          <w:lang w:val="en-US" w:eastAsia="zh-CN"/>
        </w:rPr>
      </w:pPr>
    </w:p>
    <w:p w14:paraId="5FA5A62F">
      <w:pPr>
        <w:rPr>
          <w:rFonts w:hint="eastAsia" w:ascii="Times New Roman" w:hAnsi="Times New Roman" w:cs="Times New Roman"/>
          <w:lang w:val="en-US" w:eastAsia="zh-CN"/>
        </w:rPr>
      </w:pPr>
    </w:p>
    <w:p w14:paraId="6683BE55">
      <w:pPr>
        <w:pStyle w:val="3"/>
        <w:jc w:val="center"/>
        <w:rPr>
          <w:rFonts w:hint="eastAsia" w:ascii="Times New Roman" w:hAnsi="Times New Roman" w:cs="Times New Roman"/>
          <w:lang w:val="en-US" w:eastAsia="zh-CN"/>
        </w:rPr>
      </w:pPr>
      <w:r>
        <w:rPr>
          <w:rFonts w:hint="eastAsia" w:ascii="Times New Roman" w:hAnsi="Times New Roman" w:cs="Times New Roman"/>
          <w:lang w:val="en-US" w:eastAsia="zh-CN"/>
        </w:rPr>
        <w:t>六、承诺书（格式附后）</w:t>
      </w:r>
    </w:p>
    <w:p w14:paraId="62EF65AC">
      <w:pPr>
        <w:spacing w:line="560" w:lineRule="exact"/>
        <w:jc w:val="center"/>
        <w:rPr>
          <w:rFonts w:hint="eastAsia" w:ascii="仿宋" w:hAnsi="仿宋" w:eastAsia="仿宋"/>
          <w:b/>
          <w:sz w:val="28"/>
          <w:szCs w:val="28"/>
        </w:rPr>
      </w:pPr>
      <w:r>
        <w:rPr>
          <w:rFonts w:hint="eastAsia" w:ascii="仿宋" w:hAnsi="仿宋" w:eastAsia="仿宋"/>
          <w:b/>
          <w:sz w:val="28"/>
          <w:szCs w:val="28"/>
        </w:rPr>
        <w:t>承诺书</w:t>
      </w:r>
    </w:p>
    <w:p w14:paraId="0AA42D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我单位自愿参加该项目的</w:t>
      </w:r>
      <w:r>
        <w:rPr>
          <w:rFonts w:hint="eastAsia" w:ascii="仿宋" w:hAnsi="仿宋" w:eastAsia="仿宋"/>
          <w:sz w:val="28"/>
          <w:szCs w:val="28"/>
          <w:lang w:val="en-US" w:eastAsia="zh-CN"/>
        </w:rPr>
        <w:t>采购</w:t>
      </w:r>
      <w:r>
        <w:rPr>
          <w:rFonts w:hint="eastAsia" w:ascii="仿宋" w:hAnsi="仿宋" w:eastAsia="仿宋"/>
          <w:sz w:val="28"/>
          <w:szCs w:val="28"/>
        </w:rPr>
        <w:t xml:space="preserve">活动，为此，我们郑重承诺： </w:t>
      </w:r>
    </w:p>
    <w:p w14:paraId="7E6D348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一、遵守</w:t>
      </w:r>
      <w:r>
        <w:rPr>
          <w:rFonts w:hint="eastAsia" w:ascii="仿宋" w:hAnsi="仿宋" w:eastAsia="仿宋"/>
          <w:sz w:val="28"/>
          <w:szCs w:val="28"/>
          <w:lang w:eastAsia="zh-CN"/>
        </w:rPr>
        <w:t>法律法规</w:t>
      </w:r>
      <w:r>
        <w:rPr>
          <w:rFonts w:hint="eastAsia" w:ascii="仿宋" w:hAnsi="仿宋" w:eastAsia="仿宋"/>
          <w:sz w:val="28"/>
          <w:szCs w:val="28"/>
        </w:rPr>
        <w:t xml:space="preserve">，诚实守信，合法经营，严格自律，不参与、不做任何违法违纪的事。 </w:t>
      </w:r>
    </w:p>
    <w:p w14:paraId="578EC4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二、确保提供的材料真实、合法、有效，对他人的知识产权不构成侵权。如因材料弄虚作假，或导致知识产权侵权行为，或给</w:t>
      </w:r>
      <w:r>
        <w:rPr>
          <w:rFonts w:hint="eastAsia" w:ascii="仿宋" w:hAnsi="仿宋" w:eastAsia="仿宋"/>
          <w:sz w:val="28"/>
          <w:szCs w:val="28"/>
          <w:lang w:val="en-US" w:eastAsia="zh-CN"/>
        </w:rPr>
        <w:t>采购</w:t>
      </w:r>
      <w:r>
        <w:rPr>
          <w:rFonts w:hint="eastAsia" w:ascii="仿宋" w:hAnsi="仿宋" w:eastAsia="仿宋"/>
          <w:sz w:val="28"/>
          <w:szCs w:val="28"/>
        </w:rPr>
        <w:t>方的使用带来严重影响，造成经济损失，我单位愿承担由此造成的一切法律责任和经济赔偿。</w:t>
      </w:r>
    </w:p>
    <w:p w14:paraId="35D88BA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三、如果我单位被确定为</w:t>
      </w:r>
      <w:r>
        <w:rPr>
          <w:rFonts w:hint="eastAsia" w:ascii="仿宋" w:hAnsi="仿宋" w:eastAsia="仿宋"/>
          <w:sz w:val="28"/>
          <w:szCs w:val="28"/>
          <w:lang w:val="en-US" w:eastAsia="zh-CN"/>
        </w:rPr>
        <w:t>成交</w:t>
      </w:r>
      <w:r>
        <w:rPr>
          <w:rFonts w:hint="eastAsia" w:ascii="仿宋" w:hAnsi="仿宋" w:eastAsia="仿宋"/>
          <w:sz w:val="28"/>
          <w:szCs w:val="28"/>
        </w:rPr>
        <w:t>人，将保证服务质量符合</w:t>
      </w:r>
      <w:r>
        <w:rPr>
          <w:rFonts w:hint="eastAsia" w:ascii="仿宋" w:hAnsi="仿宋" w:eastAsia="仿宋"/>
          <w:sz w:val="28"/>
          <w:szCs w:val="28"/>
          <w:lang w:val="en-US" w:eastAsia="zh-CN"/>
        </w:rPr>
        <w:t>采购</w:t>
      </w:r>
      <w:r>
        <w:rPr>
          <w:rFonts w:hint="eastAsia" w:ascii="仿宋" w:hAnsi="仿宋" w:eastAsia="仿宋"/>
          <w:sz w:val="28"/>
          <w:szCs w:val="28"/>
        </w:rPr>
        <w:t>文件和合同要求，承诺在合同规定的时间内完成服务工作，并认真履行合同约定的后续服务义务。</w:t>
      </w:r>
    </w:p>
    <w:p w14:paraId="202C8C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四、本项目授权委托人和拟派项目负责人均为我单位正式工作人员。我单位和拟派项目负责人目前没有被限制</w:t>
      </w:r>
      <w:r>
        <w:rPr>
          <w:rFonts w:hint="eastAsia" w:ascii="仿宋" w:hAnsi="仿宋" w:eastAsia="仿宋"/>
          <w:sz w:val="28"/>
          <w:szCs w:val="28"/>
          <w:lang w:val="en-US" w:eastAsia="zh-CN"/>
        </w:rPr>
        <w:t>参加采购活动</w:t>
      </w:r>
      <w:r>
        <w:rPr>
          <w:rFonts w:hint="eastAsia" w:ascii="仿宋" w:hAnsi="仿宋" w:eastAsia="仿宋"/>
          <w:sz w:val="28"/>
          <w:szCs w:val="28"/>
        </w:rPr>
        <w:t>的不良行为记录。</w:t>
      </w:r>
    </w:p>
    <w:p w14:paraId="1A4FC24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五、我公司郑重承诺，在参加本次</w:t>
      </w:r>
      <w:r>
        <w:rPr>
          <w:rFonts w:hint="eastAsia" w:ascii="仿宋" w:hAnsi="仿宋" w:eastAsia="仿宋"/>
          <w:sz w:val="28"/>
          <w:szCs w:val="28"/>
          <w:lang w:val="en-US" w:eastAsia="zh-CN"/>
        </w:rPr>
        <w:t>采购</w:t>
      </w:r>
      <w:r>
        <w:rPr>
          <w:rFonts w:hint="eastAsia" w:ascii="仿宋" w:hAnsi="仿宋" w:eastAsia="仿宋"/>
          <w:sz w:val="28"/>
          <w:szCs w:val="28"/>
        </w:rPr>
        <w:t>活动前三年内，经营活动中没有重大违法记录。</w:t>
      </w:r>
    </w:p>
    <w:p w14:paraId="72A23B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如违反上述承诺，愿意接受取消我单位</w:t>
      </w:r>
      <w:r>
        <w:rPr>
          <w:rFonts w:hint="eastAsia" w:ascii="仿宋" w:hAnsi="仿宋" w:eastAsia="仿宋"/>
          <w:sz w:val="28"/>
          <w:szCs w:val="28"/>
          <w:lang w:eastAsia="zh-CN"/>
        </w:rPr>
        <w:t>响应</w:t>
      </w:r>
      <w:r>
        <w:rPr>
          <w:rFonts w:hint="eastAsia" w:ascii="仿宋" w:hAnsi="仿宋" w:eastAsia="仿宋"/>
          <w:sz w:val="28"/>
          <w:szCs w:val="28"/>
        </w:rPr>
        <w:t>（报价）、</w:t>
      </w:r>
      <w:r>
        <w:rPr>
          <w:rFonts w:hint="eastAsia" w:ascii="仿宋" w:hAnsi="仿宋" w:eastAsia="仿宋"/>
          <w:sz w:val="28"/>
          <w:szCs w:val="28"/>
          <w:lang w:val="en-US" w:eastAsia="zh-CN"/>
        </w:rPr>
        <w:t>成交</w:t>
      </w:r>
      <w:r>
        <w:rPr>
          <w:rFonts w:hint="eastAsia" w:ascii="仿宋" w:hAnsi="仿宋" w:eastAsia="仿宋"/>
          <w:sz w:val="28"/>
          <w:szCs w:val="28"/>
        </w:rPr>
        <w:t>或正在实施项目的资格，自愿放弃索要</w:t>
      </w:r>
      <w:r>
        <w:rPr>
          <w:rFonts w:hint="eastAsia" w:ascii="仿宋" w:hAnsi="仿宋" w:eastAsia="仿宋"/>
          <w:sz w:val="28"/>
          <w:szCs w:val="28"/>
          <w:lang w:val="en-US" w:eastAsia="zh-CN"/>
        </w:rPr>
        <w:t>响应</w:t>
      </w:r>
      <w:r>
        <w:rPr>
          <w:rFonts w:hint="eastAsia" w:ascii="仿宋" w:hAnsi="仿宋" w:eastAsia="仿宋"/>
          <w:sz w:val="28"/>
          <w:szCs w:val="28"/>
        </w:rPr>
        <w:t>保证金的权利，接受不予退还</w:t>
      </w:r>
      <w:r>
        <w:rPr>
          <w:rFonts w:hint="eastAsia" w:ascii="仿宋" w:hAnsi="仿宋" w:eastAsia="仿宋"/>
          <w:sz w:val="28"/>
          <w:szCs w:val="28"/>
          <w:lang w:val="en-US" w:eastAsia="zh-CN"/>
        </w:rPr>
        <w:t>响应</w:t>
      </w:r>
      <w:r>
        <w:rPr>
          <w:rFonts w:hint="eastAsia" w:ascii="仿宋" w:hAnsi="仿宋" w:eastAsia="仿宋"/>
          <w:sz w:val="28"/>
          <w:szCs w:val="28"/>
        </w:rPr>
        <w:t>保证金</w:t>
      </w:r>
      <w:r>
        <w:rPr>
          <w:rFonts w:hint="eastAsia" w:ascii="仿宋" w:hAnsi="仿宋" w:eastAsia="仿宋"/>
          <w:sz w:val="28"/>
          <w:szCs w:val="28"/>
          <w:lang w:eastAsia="zh-CN"/>
        </w:rPr>
        <w:t>（</w:t>
      </w:r>
      <w:r>
        <w:rPr>
          <w:rFonts w:hint="eastAsia" w:ascii="仿宋" w:hAnsi="仿宋" w:eastAsia="仿宋"/>
          <w:sz w:val="28"/>
          <w:szCs w:val="28"/>
          <w:lang w:val="en-US" w:eastAsia="zh-CN"/>
        </w:rPr>
        <w:t>或履约保证金）</w:t>
      </w:r>
      <w:r>
        <w:rPr>
          <w:rFonts w:hint="eastAsia" w:ascii="仿宋" w:hAnsi="仿宋" w:eastAsia="仿宋"/>
          <w:sz w:val="28"/>
          <w:szCs w:val="28"/>
        </w:rPr>
        <w:t>以及拒绝我单位在一定时期内进入</w:t>
      </w:r>
      <w:r>
        <w:rPr>
          <w:rFonts w:hint="eastAsia" w:ascii="仿宋" w:hAnsi="仿宋" w:eastAsia="仿宋"/>
          <w:sz w:val="28"/>
          <w:szCs w:val="28"/>
          <w:lang w:val="en-US" w:eastAsia="zh-CN"/>
        </w:rPr>
        <w:t>采购</w:t>
      </w:r>
      <w:r>
        <w:rPr>
          <w:rFonts w:hint="eastAsia" w:ascii="仿宋" w:hAnsi="仿宋" w:eastAsia="仿宋"/>
          <w:sz w:val="28"/>
          <w:szCs w:val="28"/>
        </w:rPr>
        <w:t>人和亳州</w:t>
      </w:r>
      <w:r>
        <w:rPr>
          <w:rFonts w:hint="eastAsia" w:ascii="仿宋" w:hAnsi="仿宋" w:eastAsia="仿宋"/>
          <w:sz w:val="28"/>
          <w:szCs w:val="28"/>
          <w:lang w:val="en-US" w:eastAsia="zh-CN"/>
        </w:rPr>
        <w:t>交通投资控股集团有限公司及下属企业</w:t>
      </w:r>
      <w:r>
        <w:rPr>
          <w:rFonts w:hint="eastAsia" w:ascii="仿宋" w:hAnsi="仿宋" w:eastAsia="仿宋"/>
          <w:sz w:val="28"/>
          <w:szCs w:val="28"/>
        </w:rPr>
        <w:t>进行</w:t>
      </w:r>
      <w:r>
        <w:rPr>
          <w:rFonts w:hint="eastAsia" w:ascii="仿宋" w:hAnsi="仿宋" w:eastAsia="仿宋"/>
          <w:sz w:val="28"/>
          <w:szCs w:val="28"/>
          <w:lang w:val="en-US" w:eastAsia="zh-CN"/>
        </w:rPr>
        <w:t>采购</w:t>
      </w:r>
      <w:r>
        <w:rPr>
          <w:rFonts w:hint="eastAsia" w:ascii="仿宋" w:hAnsi="仿宋" w:eastAsia="仿宋"/>
          <w:sz w:val="28"/>
          <w:szCs w:val="28"/>
        </w:rPr>
        <w:t>活动的处理，由此引起的一切后果和经济损失均由我单位承担。</w:t>
      </w:r>
    </w:p>
    <w:p w14:paraId="1DCA9098">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p>
    <w:p w14:paraId="02A832C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29830B35">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r>
        <w:rPr>
          <w:rFonts w:hint="eastAsia" w:ascii="仿宋" w:hAnsi="仿宋" w:eastAsia="仿宋"/>
          <w:sz w:val="28"/>
          <w:szCs w:val="28"/>
          <w:lang w:val="en-US" w:eastAsia="zh-CN"/>
        </w:rPr>
        <w:t>供应商</w:t>
      </w:r>
      <w:r>
        <w:rPr>
          <w:rFonts w:hint="eastAsia" w:ascii="仿宋" w:hAnsi="仿宋" w:eastAsia="仿宋"/>
          <w:sz w:val="28"/>
          <w:szCs w:val="28"/>
        </w:rPr>
        <w:t>名称（公章）：</w:t>
      </w:r>
    </w:p>
    <w:p w14:paraId="66BAF5F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p>
    <w:p w14:paraId="4D894C22">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法定代表人签字或盖章：</w:t>
      </w:r>
    </w:p>
    <w:p w14:paraId="40F8CCE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773B18A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default" w:ascii="Times New Roman" w:hAnsi="Times New Roman" w:eastAsia="仿宋"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 w:hAnsi="仿宋" w:eastAsia="仿宋"/>
          <w:sz w:val="28"/>
          <w:szCs w:val="28"/>
        </w:rPr>
        <w:t xml:space="preserve">日期：     年   </w:t>
      </w:r>
      <w:r>
        <w:rPr>
          <w:rFonts w:hint="eastAsia" w:ascii="仿宋" w:hAnsi="仿宋" w:eastAsia="仿宋"/>
          <w:sz w:val="28"/>
          <w:szCs w:val="28"/>
          <w:lang w:val="en-US" w:eastAsia="zh-CN"/>
        </w:rPr>
        <w:t>月   日</w:t>
      </w:r>
    </w:p>
    <w:p w14:paraId="3455522E">
      <w:pPr>
        <w:pStyle w:val="3"/>
        <w:numPr>
          <w:ilvl w:val="0"/>
          <w:numId w:val="0"/>
        </w:numPr>
        <w:jc w:val="center"/>
        <w:rPr>
          <w:rFonts w:hint="eastAsia" w:ascii="Times New Roman" w:hAnsi="Times New Roman" w:cs="Times New Roman"/>
          <w:lang w:val="en-US" w:eastAsia="zh-CN"/>
        </w:rPr>
      </w:pPr>
      <w:r>
        <w:rPr>
          <w:rFonts w:hint="eastAsia" w:ascii="Times New Roman" w:hAnsi="Times New Roman" w:eastAsia="黑体" w:cs="Times New Roman"/>
          <w:b/>
          <w:bCs/>
          <w:kern w:val="2"/>
          <w:sz w:val="32"/>
          <w:szCs w:val="32"/>
          <w:lang w:val="en-US" w:eastAsia="zh-CN" w:bidi="ar-SA"/>
        </w:rPr>
        <w:t>七、</w:t>
      </w:r>
      <w:r>
        <w:rPr>
          <w:rFonts w:hint="eastAsia" w:ascii="Times New Roman" w:hAnsi="Times New Roman" w:cs="Times New Roman"/>
          <w:lang w:val="en-US" w:eastAsia="zh-CN"/>
        </w:rPr>
        <w:t>报价表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258"/>
        <w:gridCol w:w="1337"/>
        <w:gridCol w:w="3281"/>
        <w:gridCol w:w="832"/>
      </w:tblGrid>
      <w:tr w14:paraId="07D8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14" w:type="dxa"/>
            <w:vAlign w:val="center"/>
          </w:tcPr>
          <w:p w14:paraId="31F7C6CC">
            <w:pPr>
              <w:numPr>
                <w:ilvl w:val="0"/>
                <w:numId w:val="0"/>
              </w:numPr>
              <w:jc w:val="center"/>
              <w:rPr>
                <w:rFonts w:hint="default"/>
                <w:vertAlign w:val="baseline"/>
                <w:lang w:val="en-US" w:eastAsia="zh-CN"/>
              </w:rPr>
            </w:pPr>
            <w:r>
              <w:rPr>
                <w:rFonts w:hint="eastAsia"/>
                <w:vertAlign w:val="baseline"/>
                <w:lang w:val="en-US" w:eastAsia="zh-CN"/>
              </w:rPr>
              <w:t>序号</w:t>
            </w:r>
          </w:p>
        </w:tc>
        <w:tc>
          <w:tcPr>
            <w:tcW w:w="2258" w:type="dxa"/>
            <w:vAlign w:val="center"/>
          </w:tcPr>
          <w:p w14:paraId="5210F083">
            <w:pPr>
              <w:numPr>
                <w:ilvl w:val="0"/>
                <w:numId w:val="0"/>
              </w:numPr>
              <w:jc w:val="center"/>
              <w:rPr>
                <w:rFonts w:hint="default"/>
                <w:vertAlign w:val="baseline"/>
                <w:lang w:val="en-US" w:eastAsia="zh-CN"/>
              </w:rPr>
            </w:pPr>
            <w:r>
              <w:rPr>
                <w:rFonts w:hint="eastAsia"/>
                <w:vertAlign w:val="baseline"/>
                <w:lang w:val="en-US" w:eastAsia="zh-CN"/>
              </w:rPr>
              <w:t>名称</w:t>
            </w:r>
          </w:p>
        </w:tc>
        <w:tc>
          <w:tcPr>
            <w:tcW w:w="1337" w:type="dxa"/>
            <w:vAlign w:val="center"/>
          </w:tcPr>
          <w:p w14:paraId="529D0FE3">
            <w:pPr>
              <w:numPr>
                <w:ilvl w:val="0"/>
                <w:numId w:val="0"/>
              </w:numPr>
              <w:jc w:val="center"/>
              <w:rPr>
                <w:rFonts w:hint="default"/>
                <w:vertAlign w:val="baseline"/>
                <w:lang w:val="en-US" w:eastAsia="zh-CN"/>
              </w:rPr>
            </w:pPr>
            <w:r>
              <w:rPr>
                <w:rFonts w:hint="eastAsia"/>
                <w:vertAlign w:val="baseline"/>
                <w:lang w:val="en-US" w:eastAsia="zh-CN"/>
              </w:rPr>
              <w:t>税率</w:t>
            </w:r>
          </w:p>
        </w:tc>
        <w:tc>
          <w:tcPr>
            <w:tcW w:w="3281" w:type="dxa"/>
            <w:vAlign w:val="center"/>
          </w:tcPr>
          <w:p w14:paraId="3454A13D">
            <w:pPr>
              <w:numPr>
                <w:ilvl w:val="0"/>
                <w:numId w:val="0"/>
              </w:numPr>
              <w:jc w:val="center"/>
              <w:rPr>
                <w:rFonts w:hint="default"/>
                <w:vertAlign w:val="baseline"/>
                <w:lang w:val="en-US" w:eastAsia="zh-CN"/>
              </w:rPr>
            </w:pPr>
            <w:r>
              <w:rPr>
                <w:rFonts w:hint="eastAsia"/>
                <w:vertAlign w:val="baseline"/>
                <w:lang w:val="en-US" w:eastAsia="zh-CN"/>
              </w:rPr>
              <w:t>含税报价</w:t>
            </w:r>
          </w:p>
        </w:tc>
        <w:tc>
          <w:tcPr>
            <w:tcW w:w="832" w:type="dxa"/>
            <w:vAlign w:val="center"/>
          </w:tcPr>
          <w:p w14:paraId="40902BF7">
            <w:pPr>
              <w:numPr>
                <w:ilvl w:val="0"/>
                <w:numId w:val="0"/>
              </w:numPr>
              <w:jc w:val="center"/>
              <w:rPr>
                <w:rFonts w:hint="default"/>
                <w:vertAlign w:val="baseline"/>
                <w:lang w:val="en-US" w:eastAsia="zh-CN"/>
              </w:rPr>
            </w:pPr>
            <w:r>
              <w:rPr>
                <w:rFonts w:hint="eastAsia"/>
                <w:vertAlign w:val="baseline"/>
                <w:lang w:val="en-US" w:eastAsia="zh-CN"/>
              </w:rPr>
              <w:t>备注</w:t>
            </w:r>
          </w:p>
        </w:tc>
      </w:tr>
      <w:tr w14:paraId="1E77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14" w:type="dxa"/>
            <w:vAlign w:val="center"/>
          </w:tcPr>
          <w:p w14:paraId="2D239F38">
            <w:pPr>
              <w:numPr>
                <w:ilvl w:val="0"/>
                <w:numId w:val="0"/>
              </w:numPr>
              <w:jc w:val="center"/>
              <w:rPr>
                <w:rFonts w:hint="default"/>
                <w:vertAlign w:val="baseline"/>
                <w:lang w:val="en-US" w:eastAsia="zh-CN"/>
              </w:rPr>
            </w:pPr>
            <w:r>
              <w:rPr>
                <w:rFonts w:hint="eastAsia"/>
                <w:vertAlign w:val="baseline"/>
                <w:lang w:val="en-US" w:eastAsia="zh-CN"/>
              </w:rPr>
              <w:t>1</w:t>
            </w:r>
          </w:p>
        </w:tc>
        <w:tc>
          <w:tcPr>
            <w:tcW w:w="2258" w:type="dxa"/>
            <w:vAlign w:val="center"/>
          </w:tcPr>
          <w:p w14:paraId="2727173E">
            <w:pPr>
              <w:numPr>
                <w:ilvl w:val="0"/>
                <w:numId w:val="0"/>
              </w:numPr>
              <w:jc w:val="center"/>
              <w:rPr>
                <w:rFonts w:hint="eastAsia"/>
                <w:vertAlign w:val="baseline"/>
                <w:lang w:val="en-US" w:eastAsia="zh-CN"/>
              </w:rPr>
            </w:pPr>
            <w:r>
              <w:rPr>
                <w:rFonts w:hint="eastAsia"/>
                <w:vertAlign w:val="baseline"/>
                <w:lang w:val="en-US" w:eastAsia="zh-CN"/>
              </w:rPr>
              <w:t>亳州逸合府一期施工总承包项</w:t>
            </w:r>
            <w:bookmarkStart w:id="317" w:name="_GoBack"/>
            <w:bookmarkEnd w:id="317"/>
            <w:r>
              <w:rPr>
                <w:rFonts w:hint="eastAsia"/>
                <w:vertAlign w:val="baseline"/>
                <w:lang w:val="en-US" w:eastAsia="zh-CN"/>
              </w:rPr>
              <w:t>目标识标线工程专业分包</w:t>
            </w:r>
          </w:p>
        </w:tc>
        <w:tc>
          <w:tcPr>
            <w:tcW w:w="1337" w:type="dxa"/>
            <w:vAlign w:val="center"/>
          </w:tcPr>
          <w:p w14:paraId="5C7D3299">
            <w:pPr>
              <w:numPr>
                <w:ilvl w:val="0"/>
                <w:numId w:val="0"/>
              </w:numPr>
              <w:jc w:val="center"/>
              <w:rPr>
                <w:rFonts w:hint="eastAsia"/>
                <w:vertAlign w:val="baseline"/>
                <w:lang w:val="en-US" w:eastAsia="zh-CN"/>
              </w:rPr>
            </w:pPr>
            <w:r>
              <w:rPr>
                <w:rFonts w:hint="default"/>
                <w:u w:val="single"/>
                <w:vertAlign w:val="baseline"/>
                <w:lang w:val="en-US" w:eastAsia="zh-CN"/>
              </w:rPr>
              <w:t xml:space="preserve">     </w:t>
            </w:r>
            <w:r>
              <w:rPr>
                <w:rFonts w:hint="eastAsia"/>
                <w:u w:val="single"/>
                <w:vertAlign w:val="baseline"/>
                <w:lang w:val="en-US" w:eastAsia="zh-CN"/>
              </w:rPr>
              <w:t xml:space="preserve">   </w:t>
            </w:r>
            <w:r>
              <w:rPr>
                <w:rFonts w:hint="eastAsia"/>
                <w:vertAlign w:val="baseline"/>
                <w:lang w:val="en-US" w:eastAsia="zh-CN"/>
              </w:rPr>
              <w:t>%</w:t>
            </w:r>
          </w:p>
        </w:tc>
        <w:tc>
          <w:tcPr>
            <w:tcW w:w="3281" w:type="dxa"/>
            <w:vAlign w:val="center"/>
          </w:tcPr>
          <w:p w14:paraId="11E6FB6D">
            <w:pPr>
              <w:numPr>
                <w:ilvl w:val="0"/>
                <w:numId w:val="0"/>
              </w:numPr>
              <w:jc w:val="center"/>
              <w:rPr>
                <w:rFonts w:hint="eastAsia"/>
                <w:vertAlign w:val="baseline"/>
                <w:lang w:val="en-US" w:eastAsia="zh-CN"/>
              </w:rPr>
            </w:pPr>
            <w:r>
              <w:rPr>
                <w:rFonts w:hint="eastAsia"/>
                <w:vertAlign w:val="baseline"/>
                <w:lang w:val="en-US" w:eastAsia="zh-CN"/>
              </w:rPr>
              <w:t>以建设单位提供的清单控制价中标识标线工程专业分包部分为基数，基数的</w:t>
            </w:r>
            <w:r>
              <w:rPr>
                <w:rFonts w:hint="default"/>
                <w:u w:val="single"/>
                <w:vertAlign w:val="baseline"/>
                <w:lang w:val="en-US" w:eastAsia="zh-CN"/>
              </w:rPr>
              <w:t xml:space="preserve">     </w:t>
            </w:r>
            <w:r>
              <w:rPr>
                <w:rFonts w:hint="eastAsia"/>
                <w:u w:val="single"/>
                <w:vertAlign w:val="baseline"/>
                <w:lang w:val="en-US" w:eastAsia="zh-CN"/>
              </w:rPr>
              <w:t xml:space="preserve">   </w:t>
            </w:r>
            <w:r>
              <w:rPr>
                <w:rFonts w:hint="eastAsia"/>
                <w:vertAlign w:val="baseline"/>
                <w:lang w:val="en-US" w:eastAsia="zh-CN"/>
              </w:rPr>
              <w:t>%</w:t>
            </w:r>
          </w:p>
        </w:tc>
        <w:tc>
          <w:tcPr>
            <w:tcW w:w="832" w:type="dxa"/>
            <w:vAlign w:val="center"/>
          </w:tcPr>
          <w:p w14:paraId="6284B8F9">
            <w:pPr>
              <w:numPr>
                <w:ilvl w:val="0"/>
                <w:numId w:val="0"/>
              </w:numPr>
              <w:jc w:val="center"/>
              <w:rPr>
                <w:rFonts w:hint="eastAsia"/>
                <w:vertAlign w:val="baseline"/>
                <w:lang w:val="en-US" w:eastAsia="zh-CN"/>
              </w:rPr>
            </w:pPr>
          </w:p>
        </w:tc>
      </w:tr>
      <w:tr w14:paraId="131A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522" w:type="dxa"/>
            <w:gridSpan w:val="5"/>
            <w:vAlign w:val="center"/>
          </w:tcPr>
          <w:p w14:paraId="11796904">
            <w:pPr>
              <w:numPr>
                <w:ilvl w:val="0"/>
                <w:numId w:val="0"/>
              </w:numPr>
              <w:jc w:val="left"/>
              <w:rPr>
                <w:rFonts w:hint="eastAsia"/>
                <w:vertAlign w:val="baseline"/>
                <w:lang w:val="en-US" w:eastAsia="zh-CN"/>
              </w:rPr>
            </w:pPr>
            <w:r>
              <w:rPr>
                <w:rFonts w:hint="eastAsia"/>
                <w:vertAlign w:val="baseline"/>
                <w:lang w:val="en-US" w:eastAsia="zh-CN"/>
              </w:rPr>
              <w:t>注：</w:t>
            </w:r>
          </w:p>
          <w:p w14:paraId="4ADFB30E">
            <w:pPr>
              <w:numPr>
                <w:ilvl w:val="0"/>
                <w:numId w:val="0"/>
              </w:numPr>
              <w:ind w:firstLine="420" w:firstLineChars="200"/>
              <w:jc w:val="left"/>
              <w:rPr>
                <w:rFonts w:hint="eastAsia"/>
                <w:vertAlign w:val="baseline"/>
                <w:lang w:val="en-US" w:eastAsia="zh-CN"/>
              </w:rPr>
            </w:pPr>
            <w:r>
              <w:rPr>
                <w:rFonts w:hint="eastAsia"/>
                <w:vertAlign w:val="baseline"/>
                <w:lang w:val="en-US" w:eastAsia="zh-CN"/>
              </w:rPr>
              <w:t>1、未尽事宜具体详见图纸、图集、答疑、采购文件、政府相关文件、规范等其他资料，满足验收要求；</w:t>
            </w:r>
          </w:p>
          <w:p w14:paraId="1161B6D1">
            <w:pPr>
              <w:numPr>
                <w:ilvl w:val="0"/>
                <w:numId w:val="0"/>
              </w:numPr>
              <w:ind w:firstLine="420" w:firstLineChars="200"/>
              <w:jc w:val="left"/>
              <w:rPr>
                <w:rFonts w:hint="eastAsia"/>
                <w:vertAlign w:val="baseline"/>
                <w:lang w:val="en-US" w:eastAsia="zh-CN"/>
              </w:rPr>
            </w:pPr>
            <w:r>
              <w:rPr>
                <w:rFonts w:hint="eastAsia"/>
                <w:vertAlign w:val="baseline"/>
                <w:lang w:val="en-US" w:eastAsia="zh-CN"/>
              </w:rPr>
              <w:t>2、清单详见“第五章 采购需求”，最终以建设单位提供的标识标线工程专业分包清单为准。</w:t>
            </w:r>
          </w:p>
        </w:tc>
      </w:tr>
    </w:tbl>
    <w:p w14:paraId="03584F8A">
      <w:pPr>
        <w:numPr>
          <w:ilvl w:val="0"/>
          <w:numId w:val="0"/>
        </w:numPr>
        <w:rPr>
          <w:rFonts w:hint="eastAsia"/>
          <w:lang w:val="en-US" w:eastAsia="zh-CN"/>
        </w:rPr>
      </w:pPr>
    </w:p>
    <w:p w14:paraId="721F2D4A">
      <w:pPr>
        <w:numPr>
          <w:ilvl w:val="0"/>
          <w:numId w:val="0"/>
        </w:numPr>
        <w:rPr>
          <w:rFonts w:hint="eastAsia"/>
          <w:lang w:val="en-US" w:eastAsia="zh-CN"/>
        </w:rPr>
      </w:pPr>
    </w:p>
    <w:p w14:paraId="263A11BF">
      <w:pPr>
        <w:pStyle w:val="3"/>
        <w:jc w:val="center"/>
        <w:rPr>
          <w:rFonts w:hint="eastAsia" w:ascii="Times New Roman" w:hAnsi="Times New Roman"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278"/>
    <w:bookmarkEnd w:id="279"/>
    <w:bookmarkEnd w:id="280"/>
    <w:bookmarkEnd w:id="281"/>
    <w:bookmarkEnd w:id="282"/>
    <w:bookmarkEnd w:id="283"/>
    <w:p w14:paraId="577D3DDA">
      <w:pPr>
        <w:pStyle w:val="3"/>
        <w:jc w:val="center"/>
        <w:rPr>
          <w:rFonts w:hint="eastAsia"/>
        </w:rPr>
      </w:pPr>
      <w:bookmarkStart w:id="284" w:name="_Toc144974864"/>
      <w:bookmarkStart w:id="285" w:name="_Toc247527836"/>
      <w:bookmarkStart w:id="286" w:name="_Toc152045796"/>
      <w:bookmarkStart w:id="287" w:name="_Toc300835221"/>
      <w:bookmarkStart w:id="288" w:name="_Toc247514288"/>
      <w:bookmarkStart w:id="289" w:name="_Toc152042585"/>
      <w:r>
        <w:rPr>
          <w:rFonts w:hint="eastAsia" w:ascii="Times New Roman" w:hAnsi="Times New Roman" w:cs="Times New Roman"/>
          <w:highlight w:val="none"/>
          <w:lang w:val="en-US" w:eastAsia="zh-CN"/>
        </w:rPr>
        <w:t>八</w:t>
      </w:r>
      <w:r>
        <w:rPr>
          <w:rFonts w:hint="default" w:ascii="Times New Roman" w:hAnsi="Times New Roman" w:cs="Times New Roman"/>
          <w:highlight w:val="none"/>
        </w:rPr>
        <w:t>、</w:t>
      </w:r>
      <w:bookmarkEnd w:id="284"/>
      <w:bookmarkEnd w:id="285"/>
      <w:bookmarkEnd w:id="286"/>
      <w:bookmarkEnd w:id="287"/>
      <w:bookmarkEnd w:id="288"/>
      <w:bookmarkEnd w:id="289"/>
      <w:bookmarkStart w:id="290" w:name="_Toc300835223"/>
      <w:r>
        <w:t>资格审查资料</w:t>
      </w:r>
    </w:p>
    <w:p w14:paraId="0BFC76BB">
      <w:pPr>
        <w:spacing w:before="53"/>
        <w:jc w:val="center"/>
        <w:rPr>
          <w:rFonts w:hint="eastAsia"/>
          <w:b/>
          <w:bCs/>
          <w:color w:val="FF0000"/>
          <w:lang w:val="en-US" w:eastAsia="zh-CN"/>
        </w:rPr>
      </w:pPr>
      <w:bookmarkStart w:id="291" w:name="_Toc296602618"/>
      <w:bookmarkStart w:id="292" w:name="_Toc247085891"/>
      <w:bookmarkStart w:id="293" w:name="_Toc246996373"/>
      <w:bookmarkStart w:id="294" w:name="_Toc246997116"/>
      <w:bookmarkStart w:id="295" w:name="_Toc179632828"/>
      <w:r>
        <w:rPr>
          <w:rFonts w:hint="eastAsia"/>
          <w:b/>
          <w:bCs/>
          <w:color w:val="FF0000"/>
          <w:lang w:val="en-US" w:eastAsia="zh-CN"/>
        </w:rPr>
        <w:t>（注：供应商根据询比公告/邀请书要求按需填写，如无要求，可不填写。）</w:t>
      </w:r>
    </w:p>
    <w:p w14:paraId="3DAB7550">
      <w:pPr>
        <w:pStyle w:val="4"/>
        <w:jc w:val="both"/>
        <w:rPr>
          <w:rFonts w:hint="eastAsia"/>
        </w:rPr>
      </w:pPr>
      <w:r>
        <w:t>（一）</w:t>
      </w:r>
      <w:r>
        <w:rPr>
          <w:rFonts w:hint="eastAsia"/>
          <w:lang w:eastAsia="zh-CN"/>
        </w:rPr>
        <w:t>供应商</w:t>
      </w:r>
      <w:r>
        <w:t>基本情况表</w:t>
      </w:r>
      <w:bookmarkEnd w:id="291"/>
      <w:bookmarkEnd w:id="292"/>
      <w:bookmarkEnd w:id="293"/>
      <w:bookmarkEnd w:id="294"/>
      <w:bookmarkEnd w:id="295"/>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8D86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7F749C0">
            <w:pPr>
              <w:topLinePunct/>
              <w:spacing w:line="440" w:lineRule="exact"/>
              <w:jc w:val="center"/>
              <w:rPr>
                <w:szCs w:val="21"/>
              </w:rPr>
            </w:pPr>
            <w:r>
              <w:rPr>
                <w:rFonts w:hint="eastAsia"/>
                <w:szCs w:val="21"/>
                <w:lang w:eastAsia="zh-CN"/>
              </w:rPr>
              <w:t>供应商</w:t>
            </w:r>
            <w:r>
              <w:rPr>
                <w:szCs w:val="21"/>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B838627">
            <w:pPr>
              <w:topLinePunct/>
              <w:spacing w:line="440" w:lineRule="exact"/>
              <w:jc w:val="center"/>
              <w:rPr>
                <w:szCs w:val="21"/>
              </w:rPr>
            </w:pPr>
          </w:p>
        </w:tc>
      </w:tr>
      <w:tr w14:paraId="31775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462F706">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25561D32">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EF7C378">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5795174">
            <w:pPr>
              <w:topLinePunct/>
              <w:spacing w:line="440" w:lineRule="exact"/>
              <w:jc w:val="center"/>
              <w:rPr>
                <w:szCs w:val="21"/>
              </w:rPr>
            </w:pPr>
          </w:p>
        </w:tc>
      </w:tr>
      <w:tr w14:paraId="2A084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5CAD76D2">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EC764C2">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7C3D7837">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3D33AEE">
            <w:pPr>
              <w:topLinePunct/>
              <w:spacing w:line="440" w:lineRule="exact"/>
              <w:jc w:val="center"/>
              <w:rPr>
                <w:szCs w:val="21"/>
              </w:rPr>
            </w:pPr>
            <w:r>
              <w:rPr>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11334AB">
            <w:pPr>
              <w:topLinePunct/>
              <w:spacing w:line="440" w:lineRule="exact"/>
              <w:jc w:val="center"/>
              <w:rPr>
                <w:szCs w:val="21"/>
              </w:rPr>
            </w:pPr>
          </w:p>
        </w:tc>
      </w:tr>
      <w:tr w14:paraId="53EB3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6EC454D0">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93FA290">
            <w:pPr>
              <w:topLinePunct/>
              <w:spacing w:line="440" w:lineRule="exact"/>
              <w:jc w:val="center"/>
              <w:rPr>
                <w:szCs w:val="21"/>
              </w:rPr>
            </w:pPr>
            <w:r>
              <w:rPr>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461D047E">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2DB840">
            <w:pPr>
              <w:topLinePunct/>
              <w:spacing w:line="440" w:lineRule="exact"/>
              <w:jc w:val="center"/>
              <w:rPr>
                <w:szCs w:val="21"/>
              </w:rPr>
            </w:pPr>
            <w:r>
              <w:rPr>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C0E8047">
            <w:pPr>
              <w:topLinePunct/>
              <w:spacing w:line="440" w:lineRule="exact"/>
              <w:jc w:val="center"/>
              <w:rPr>
                <w:szCs w:val="21"/>
              </w:rPr>
            </w:pPr>
          </w:p>
        </w:tc>
      </w:tr>
      <w:tr w14:paraId="64C24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5001FC8">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5D2E9EB5">
            <w:pPr>
              <w:topLinePunct/>
              <w:spacing w:line="440" w:lineRule="exact"/>
              <w:jc w:val="center"/>
              <w:rPr>
                <w:szCs w:val="21"/>
              </w:rPr>
            </w:pPr>
          </w:p>
        </w:tc>
      </w:tr>
      <w:tr w14:paraId="367E0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BD81D49">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9272B5D">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66C42EE">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E46A9F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6EBE812">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EFB4C1D">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C41EF21">
            <w:pPr>
              <w:topLinePunct/>
              <w:spacing w:line="440" w:lineRule="exact"/>
              <w:jc w:val="center"/>
              <w:rPr>
                <w:szCs w:val="21"/>
              </w:rPr>
            </w:pPr>
          </w:p>
        </w:tc>
      </w:tr>
      <w:tr w14:paraId="4F80E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1CC6A87">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9CBE48A">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01830BF">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1DD9AD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5DB1E94">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9A9D4BC">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2386528">
            <w:pPr>
              <w:topLinePunct/>
              <w:spacing w:line="440" w:lineRule="exact"/>
              <w:jc w:val="center"/>
              <w:rPr>
                <w:szCs w:val="21"/>
              </w:rPr>
            </w:pPr>
          </w:p>
        </w:tc>
      </w:tr>
      <w:tr w14:paraId="6113A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0C7B519">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CBB1294">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337EC993">
            <w:pPr>
              <w:topLinePunct/>
              <w:spacing w:line="440" w:lineRule="exact"/>
              <w:ind w:firstLine="105" w:firstLineChars="50"/>
              <w:jc w:val="center"/>
              <w:rPr>
                <w:szCs w:val="21"/>
              </w:rPr>
            </w:pPr>
            <w:r>
              <w:rPr>
                <w:szCs w:val="21"/>
              </w:rPr>
              <w:t>员工总人数：</w:t>
            </w:r>
          </w:p>
        </w:tc>
      </w:tr>
      <w:tr w14:paraId="33F83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49090AE">
            <w:pPr>
              <w:topLinePunct/>
              <w:spacing w:line="440" w:lineRule="exact"/>
              <w:jc w:val="center"/>
              <w:rPr>
                <w:szCs w:val="21"/>
              </w:rPr>
            </w:pPr>
            <w:r>
              <w:rPr>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E2F9ADD">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496E6F99">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B4B85ED">
            <w:pPr>
              <w:topLinePunct/>
              <w:spacing w:line="440" w:lineRule="exact"/>
              <w:jc w:val="center"/>
              <w:rPr>
                <w:rFonts w:hint="eastAsia" w:eastAsiaTheme="minorEastAsia"/>
                <w:szCs w:val="21"/>
                <w:lang w:eastAsia="zh-CN"/>
              </w:rPr>
            </w:pPr>
            <w:r>
              <w:rPr>
                <w:rFonts w:hint="eastAsia"/>
                <w:szCs w:val="21"/>
                <w:lang w:eastAsia="zh-CN"/>
              </w:rPr>
              <w:t>项目负责人</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B29621">
            <w:pPr>
              <w:topLinePunct/>
              <w:spacing w:line="440" w:lineRule="exact"/>
              <w:jc w:val="center"/>
              <w:rPr>
                <w:szCs w:val="21"/>
              </w:rPr>
            </w:pPr>
          </w:p>
        </w:tc>
      </w:tr>
      <w:tr w14:paraId="441C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6955522">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FD0E70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817D925">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494D65B">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5CFC675">
            <w:pPr>
              <w:topLinePunct/>
              <w:spacing w:line="440" w:lineRule="exact"/>
              <w:jc w:val="center"/>
              <w:rPr>
                <w:szCs w:val="21"/>
              </w:rPr>
            </w:pPr>
          </w:p>
        </w:tc>
      </w:tr>
      <w:tr w14:paraId="2FADE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4F51A54">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56BD12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37E6EFA">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46E0C42">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1446EB">
            <w:pPr>
              <w:topLinePunct/>
              <w:spacing w:line="440" w:lineRule="exact"/>
              <w:jc w:val="center"/>
              <w:rPr>
                <w:szCs w:val="21"/>
              </w:rPr>
            </w:pPr>
          </w:p>
        </w:tc>
      </w:tr>
      <w:tr w14:paraId="12E22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F9F9F98">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895A7D9">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3803D30">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54D1D76">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8977635">
            <w:pPr>
              <w:topLinePunct/>
              <w:spacing w:line="440" w:lineRule="exact"/>
              <w:jc w:val="center"/>
              <w:rPr>
                <w:szCs w:val="21"/>
              </w:rPr>
            </w:pPr>
          </w:p>
        </w:tc>
      </w:tr>
      <w:tr w14:paraId="67B3F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253784A">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F6F41E4">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60C6988">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27B03F8">
            <w:pPr>
              <w:topLinePunct/>
              <w:spacing w:line="440" w:lineRule="exact"/>
              <w:jc w:val="center"/>
            </w:pPr>
            <w:r>
              <w:rPr>
                <w:szCs w:val="21"/>
              </w:rPr>
              <w:t>技</w:t>
            </w:r>
            <w:r>
              <w:rPr>
                <w:rFonts w:hint="eastAsia"/>
                <w:szCs w:val="21"/>
              </w:rPr>
              <w:t xml:space="preserve">  </w:t>
            </w:r>
            <w:r>
              <w:rPr>
                <w:szCs w:val="21"/>
              </w:rP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3768F0D">
            <w:pPr>
              <w:topLinePunct/>
              <w:spacing w:line="440" w:lineRule="exact"/>
              <w:jc w:val="center"/>
              <w:rPr>
                <w:szCs w:val="21"/>
              </w:rPr>
            </w:pPr>
          </w:p>
        </w:tc>
      </w:tr>
      <w:tr w14:paraId="159E6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6FD5D9C8">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14:paraId="07462135">
            <w:pPr>
              <w:topLinePunct/>
              <w:spacing w:line="440" w:lineRule="exact"/>
              <w:jc w:val="center"/>
              <w:rPr>
                <w:szCs w:val="21"/>
              </w:rPr>
            </w:pPr>
          </w:p>
          <w:p w14:paraId="04DC479E">
            <w:pPr>
              <w:topLinePunct/>
              <w:spacing w:line="440" w:lineRule="exact"/>
              <w:jc w:val="center"/>
              <w:rPr>
                <w:szCs w:val="21"/>
              </w:rPr>
            </w:pPr>
          </w:p>
          <w:p w14:paraId="646CDE54">
            <w:pPr>
              <w:topLinePunct/>
              <w:spacing w:line="440" w:lineRule="exact"/>
              <w:jc w:val="center"/>
              <w:rPr>
                <w:szCs w:val="21"/>
              </w:rPr>
            </w:pPr>
          </w:p>
          <w:p w14:paraId="5EB48E85">
            <w:pPr>
              <w:topLinePunct/>
              <w:spacing w:line="440" w:lineRule="exact"/>
              <w:jc w:val="center"/>
              <w:rPr>
                <w:szCs w:val="21"/>
              </w:rPr>
            </w:pPr>
          </w:p>
          <w:p w14:paraId="1C01AE0C">
            <w:pPr>
              <w:topLinePunct/>
              <w:spacing w:line="440" w:lineRule="exact"/>
              <w:rPr>
                <w:szCs w:val="21"/>
              </w:rPr>
            </w:pPr>
          </w:p>
        </w:tc>
      </w:tr>
      <w:tr w14:paraId="45A49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CC19472">
            <w:pPr>
              <w:topLinePunct/>
              <w:spacing w:line="440" w:lineRule="exact"/>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D6AB00B">
            <w:pPr>
              <w:topLinePunct/>
              <w:spacing w:line="440" w:lineRule="exact"/>
              <w:jc w:val="center"/>
              <w:rPr>
                <w:szCs w:val="21"/>
              </w:rPr>
            </w:pPr>
          </w:p>
        </w:tc>
      </w:tr>
    </w:tbl>
    <w:p w14:paraId="5C823A1D">
      <w:pPr>
        <w:rPr>
          <w:rFonts w:hint="default" w:ascii="Times New Roman" w:hAnsi="Times New Roman" w:cs="Times New Roman"/>
        </w:rPr>
      </w:pPr>
    </w:p>
    <w:p w14:paraId="4D82630B">
      <w:pPr>
        <w:rPr>
          <w:rFonts w:hint="default" w:ascii="Times New Roman" w:hAnsi="Times New Roman" w:cs="Times New Roman"/>
        </w:rPr>
      </w:pPr>
      <w:r>
        <w:rPr>
          <w:rFonts w:hint="default" w:ascii="Times New Roman" w:hAnsi="Times New Roman" w:cs="Times New Roman"/>
        </w:rPr>
        <w:br w:type="page"/>
      </w:r>
    </w:p>
    <w:p w14:paraId="1A4F967C">
      <w:pPr>
        <w:pStyle w:val="4"/>
        <w:jc w:val="both"/>
      </w:pPr>
      <w:bookmarkStart w:id="296" w:name="_Toc246997113"/>
      <w:bookmarkStart w:id="297" w:name="_Toc247085888"/>
      <w:bookmarkStart w:id="298" w:name="_Toc246996370"/>
      <w:bookmarkStart w:id="299" w:name="_Toc296602615"/>
      <w:bookmarkStart w:id="300" w:name="_Toc152042599"/>
      <w:bookmarkStart w:id="301" w:name="_Toc144974878"/>
      <w:bookmarkStart w:id="302" w:name="_Toc247514302"/>
      <w:bookmarkStart w:id="303" w:name="_Toc247527850"/>
      <w:bookmarkStart w:id="304" w:name="_Toc152045810"/>
      <w:bookmarkStart w:id="305" w:name="_Toc300835226"/>
      <w:r>
        <w:t>（</w:t>
      </w:r>
      <w:r>
        <w:rPr>
          <w:rFonts w:hint="eastAsia"/>
          <w:lang w:val="en-US" w:eastAsia="zh-CN"/>
        </w:rPr>
        <w:t>二</w:t>
      </w:r>
      <w:r>
        <w:t>）项目管理机构组成表</w:t>
      </w:r>
      <w:bookmarkEnd w:id="296"/>
      <w:bookmarkEnd w:id="297"/>
      <w:bookmarkEnd w:id="298"/>
      <w:bookmarkEnd w:id="299"/>
    </w:p>
    <w:p w14:paraId="69188AE7">
      <w:pPr>
        <w:spacing w:line="440" w:lineRule="exact"/>
        <w:jc w:val="center"/>
        <w:rPr>
          <w:rFonts w:eastAsia="黑体"/>
          <w:sz w:val="23"/>
          <w:szCs w:val="23"/>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100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restart"/>
            <w:noWrap w:val="0"/>
            <w:vAlign w:val="center"/>
          </w:tcPr>
          <w:p w14:paraId="4AA12D99">
            <w:pPr>
              <w:spacing w:line="440" w:lineRule="exact"/>
              <w:jc w:val="center"/>
              <w:rPr>
                <w:szCs w:val="21"/>
              </w:rPr>
            </w:pPr>
            <w:r>
              <w:rPr>
                <w:szCs w:val="21"/>
              </w:rPr>
              <w:t>职务</w:t>
            </w:r>
          </w:p>
        </w:tc>
        <w:tc>
          <w:tcPr>
            <w:tcW w:w="721" w:type="dxa"/>
            <w:vMerge w:val="restart"/>
            <w:noWrap w:val="0"/>
            <w:vAlign w:val="center"/>
          </w:tcPr>
          <w:p w14:paraId="4435CE50">
            <w:pPr>
              <w:spacing w:line="440" w:lineRule="exact"/>
              <w:jc w:val="center"/>
              <w:rPr>
                <w:szCs w:val="21"/>
              </w:rPr>
            </w:pPr>
            <w:r>
              <w:rPr>
                <w:szCs w:val="21"/>
              </w:rPr>
              <w:t>姓名</w:t>
            </w:r>
          </w:p>
        </w:tc>
        <w:tc>
          <w:tcPr>
            <w:tcW w:w="719" w:type="dxa"/>
            <w:vMerge w:val="restart"/>
            <w:noWrap w:val="0"/>
            <w:vAlign w:val="center"/>
          </w:tcPr>
          <w:p w14:paraId="524CB841">
            <w:pPr>
              <w:spacing w:line="440" w:lineRule="exact"/>
              <w:jc w:val="center"/>
              <w:rPr>
                <w:szCs w:val="21"/>
              </w:rPr>
            </w:pPr>
            <w:r>
              <w:rPr>
                <w:szCs w:val="21"/>
              </w:rPr>
              <w:t>职称</w:t>
            </w:r>
          </w:p>
        </w:tc>
        <w:tc>
          <w:tcPr>
            <w:tcW w:w="5763" w:type="dxa"/>
            <w:gridSpan w:val="5"/>
            <w:noWrap w:val="0"/>
            <w:vAlign w:val="center"/>
          </w:tcPr>
          <w:p w14:paraId="415EC43E">
            <w:pPr>
              <w:spacing w:line="440" w:lineRule="exact"/>
              <w:jc w:val="center"/>
              <w:rPr>
                <w:szCs w:val="21"/>
              </w:rPr>
            </w:pPr>
            <w:r>
              <w:rPr>
                <w:szCs w:val="21"/>
              </w:rPr>
              <w:t>执业或职业资格证明</w:t>
            </w:r>
          </w:p>
        </w:tc>
        <w:tc>
          <w:tcPr>
            <w:tcW w:w="672" w:type="dxa"/>
            <w:noWrap w:val="0"/>
            <w:vAlign w:val="center"/>
          </w:tcPr>
          <w:p w14:paraId="6B97E336">
            <w:pPr>
              <w:spacing w:line="440" w:lineRule="exact"/>
              <w:jc w:val="center"/>
              <w:rPr>
                <w:szCs w:val="21"/>
              </w:rPr>
            </w:pPr>
            <w:r>
              <w:rPr>
                <w:szCs w:val="21"/>
              </w:rPr>
              <w:t>备注</w:t>
            </w:r>
          </w:p>
        </w:tc>
      </w:tr>
      <w:tr w14:paraId="5D33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continue"/>
            <w:noWrap w:val="0"/>
            <w:vAlign w:val="center"/>
          </w:tcPr>
          <w:p w14:paraId="1736797B">
            <w:pPr>
              <w:spacing w:line="440" w:lineRule="exact"/>
              <w:jc w:val="center"/>
              <w:rPr>
                <w:szCs w:val="21"/>
              </w:rPr>
            </w:pPr>
          </w:p>
        </w:tc>
        <w:tc>
          <w:tcPr>
            <w:tcW w:w="721" w:type="dxa"/>
            <w:vMerge w:val="continue"/>
            <w:noWrap w:val="0"/>
            <w:vAlign w:val="center"/>
          </w:tcPr>
          <w:p w14:paraId="7DE208FB">
            <w:pPr>
              <w:spacing w:line="440" w:lineRule="exact"/>
              <w:jc w:val="center"/>
              <w:rPr>
                <w:szCs w:val="21"/>
              </w:rPr>
            </w:pPr>
          </w:p>
        </w:tc>
        <w:tc>
          <w:tcPr>
            <w:tcW w:w="719" w:type="dxa"/>
            <w:vMerge w:val="continue"/>
            <w:noWrap w:val="0"/>
            <w:vAlign w:val="center"/>
          </w:tcPr>
          <w:p w14:paraId="17EAFFAC">
            <w:pPr>
              <w:spacing w:line="440" w:lineRule="exact"/>
              <w:jc w:val="center"/>
              <w:rPr>
                <w:szCs w:val="21"/>
              </w:rPr>
            </w:pPr>
          </w:p>
        </w:tc>
        <w:tc>
          <w:tcPr>
            <w:tcW w:w="1081" w:type="dxa"/>
            <w:noWrap w:val="0"/>
            <w:vAlign w:val="center"/>
          </w:tcPr>
          <w:p w14:paraId="49DF7D6E">
            <w:pPr>
              <w:spacing w:line="440" w:lineRule="exact"/>
              <w:jc w:val="center"/>
              <w:rPr>
                <w:szCs w:val="21"/>
              </w:rPr>
            </w:pPr>
            <w:r>
              <w:rPr>
                <w:szCs w:val="21"/>
              </w:rPr>
              <w:t>证书名称</w:t>
            </w:r>
          </w:p>
        </w:tc>
        <w:tc>
          <w:tcPr>
            <w:tcW w:w="719" w:type="dxa"/>
            <w:noWrap w:val="0"/>
            <w:vAlign w:val="center"/>
          </w:tcPr>
          <w:p w14:paraId="526843A9">
            <w:pPr>
              <w:spacing w:line="440" w:lineRule="exact"/>
              <w:jc w:val="center"/>
              <w:rPr>
                <w:szCs w:val="21"/>
              </w:rPr>
            </w:pPr>
            <w:r>
              <w:rPr>
                <w:szCs w:val="21"/>
              </w:rPr>
              <w:t>级别</w:t>
            </w:r>
          </w:p>
        </w:tc>
        <w:tc>
          <w:tcPr>
            <w:tcW w:w="721" w:type="dxa"/>
            <w:noWrap w:val="0"/>
            <w:vAlign w:val="center"/>
          </w:tcPr>
          <w:p w14:paraId="3EA08767">
            <w:pPr>
              <w:spacing w:line="440" w:lineRule="exact"/>
              <w:jc w:val="center"/>
              <w:rPr>
                <w:szCs w:val="21"/>
              </w:rPr>
            </w:pPr>
            <w:r>
              <w:rPr>
                <w:szCs w:val="21"/>
              </w:rPr>
              <w:t>证号</w:t>
            </w:r>
          </w:p>
        </w:tc>
        <w:tc>
          <w:tcPr>
            <w:tcW w:w="719" w:type="dxa"/>
            <w:noWrap w:val="0"/>
            <w:vAlign w:val="center"/>
          </w:tcPr>
          <w:p w14:paraId="71969FAD">
            <w:pPr>
              <w:spacing w:line="440" w:lineRule="exact"/>
              <w:jc w:val="center"/>
              <w:rPr>
                <w:szCs w:val="21"/>
              </w:rPr>
            </w:pPr>
            <w:r>
              <w:rPr>
                <w:szCs w:val="21"/>
              </w:rPr>
              <w:t>专业</w:t>
            </w:r>
          </w:p>
        </w:tc>
        <w:tc>
          <w:tcPr>
            <w:tcW w:w="2523" w:type="dxa"/>
            <w:noWrap w:val="0"/>
            <w:vAlign w:val="center"/>
          </w:tcPr>
          <w:p w14:paraId="575756FA">
            <w:pPr>
              <w:spacing w:line="440" w:lineRule="exact"/>
              <w:jc w:val="center"/>
              <w:rPr>
                <w:szCs w:val="21"/>
              </w:rPr>
            </w:pPr>
            <w:r>
              <w:rPr>
                <w:szCs w:val="21"/>
              </w:rPr>
              <w:t>养老保险</w:t>
            </w:r>
          </w:p>
        </w:tc>
        <w:tc>
          <w:tcPr>
            <w:tcW w:w="672" w:type="dxa"/>
            <w:noWrap w:val="0"/>
            <w:vAlign w:val="center"/>
          </w:tcPr>
          <w:p w14:paraId="3D8BD92A">
            <w:pPr>
              <w:spacing w:line="440" w:lineRule="exact"/>
              <w:jc w:val="center"/>
              <w:rPr>
                <w:szCs w:val="21"/>
              </w:rPr>
            </w:pPr>
          </w:p>
        </w:tc>
      </w:tr>
      <w:tr w14:paraId="6B23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center"/>
          </w:tcPr>
          <w:p w14:paraId="7D520BDF">
            <w:pPr>
              <w:spacing w:line="440" w:lineRule="exact"/>
              <w:jc w:val="center"/>
              <w:rPr>
                <w:szCs w:val="21"/>
              </w:rPr>
            </w:pPr>
          </w:p>
        </w:tc>
        <w:tc>
          <w:tcPr>
            <w:tcW w:w="721" w:type="dxa"/>
            <w:noWrap w:val="0"/>
            <w:vAlign w:val="center"/>
          </w:tcPr>
          <w:p w14:paraId="179B1EF6">
            <w:pPr>
              <w:spacing w:line="440" w:lineRule="exact"/>
              <w:jc w:val="center"/>
              <w:rPr>
                <w:szCs w:val="21"/>
              </w:rPr>
            </w:pPr>
          </w:p>
        </w:tc>
        <w:tc>
          <w:tcPr>
            <w:tcW w:w="719" w:type="dxa"/>
            <w:noWrap w:val="0"/>
            <w:vAlign w:val="center"/>
          </w:tcPr>
          <w:p w14:paraId="7C065F86">
            <w:pPr>
              <w:spacing w:line="440" w:lineRule="exact"/>
              <w:jc w:val="center"/>
              <w:rPr>
                <w:szCs w:val="21"/>
              </w:rPr>
            </w:pPr>
          </w:p>
        </w:tc>
        <w:tc>
          <w:tcPr>
            <w:tcW w:w="1081" w:type="dxa"/>
            <w:noWrap w:val="0"/>
            <w:vAlign w:val="center"/>
          </w:tcPr>
          <w:p w14:paraId="337A8DD2">
            <w:pPr>
              <w:spacing w:line="440" w:lineRule="exact"/>
              <w:jc w:val="center"/>
              <w:rPr>
                <w:szCs w:val="21"/>
              </w:rPr>
            </w:pPr>
          </w:p>
        </w:tc>
        <w:tc>
          <w:tcPr>
            <w:tcW w:w="719" w:type="dxa"/>
            <w:noWrap w:val="0"/>
            <w:vAlign w:val="center"/>
          </w:tcPr>
          <w:p w14:paraId="4EE34510">
            <w:pPr>
              <w:spacing w:line="440" w:lineRule="exact"/>
              <w:jc w:val="center"/>
              <w:rPr>
                <w:szCs w:val="21"/>
              </w:rPr>
            </w:pPr>
          </w:p>
        </w:tc>
        <w:tc>
          <w:tcPr>
            <w:tcW w:w="721" w:type="dxa"/>
            <w:noWrap w:val="0"/>
            <w:vAlign w:val="center"/>
          </w:tcPr>
          <w:p w14:paraId="34CCFD0D">
            <w:pPr>
              <w:spacing w:line="440" w:lineRule="exact"/>
              <w:jc w:val="center"/>
              <w:rPr>
                <w:szCs w:val="21"/>
              </w:rPr>
            </w:pPr>
          </w:p>
        </w:tc>
        <w:tc>
          <w:tcPr>
            <w:tcW w:w="719" w:type="dxa"/>
            <w:noWrap w:val="0"/>
            <w:vAlign w:val="center"/>
          </w:tcPr>
          <w:p w14:paraId="18DBA9D5">
            <w:pPr>
              <w:spacing w:line="440" w:lineRule="exact"/>
              <w:jc w:val="center"/>
              <w:rPr>
                <w:szCs w:val="21"/>
              </w:rPr>
            </w:pPr>
          </w:p>
        </w:tc>
        <w:tc>
          <w:tcPr>
            <w:tcW w:w="2523" w:type="dxa"/>
            <w:noWrap w:val="0"/>
            <w:vAlign w:val="center"/>
          </w:tcPr>
          <w:p w14:paraId="18FF85A7">
            <w:pPr>
              <w:spacing w:line="440" w:lineRule="exact"/>
              <w:jc w:val="center"/>
              <w:rPr>
                <w:szCs w:val="21"/>
              </w:rPr>
            </w:pPr>
          </w:p>
        </w:tc>
        <w:tc>
          <w:tcPr>
            <w:tcW w:w="672" w:type="dxa"/>
            <w:noWrap w:val="0"/>
            <w:vAlign w:val="center"/>
          </w:tcPr>
          <w:p w14:paraId="384C174E">
            <w:pPr>
              <w:spacing w:line="440" w:lineRule="exact"/>
              <w:jc w:val="center"/>
              <w:rPr>
                <w:szCs w:val="21"/>
              </w:rPr>
            </w:pPr>
          </w:p>
        </w:tc>
      </w:tr>
      <w:tr w14:paraId="6E1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615B6D4">
            <w:pPr>
              <w:spacing w:line="440" w:lineRule="exact"/>
              <w:jc w:val="center"/>
              <w:rPr>
                <w:szCs w:val="21"/>
              </w:rPr>
            </w:pPr>
          </w:p>
        </w:tc>
        <w:tc>
          <w:tcPr>
            <w:tcW w:w="721" w:type="dxa"/>
            <w:noWrap w:val="0"/>
            <w:vAlign w:val="top"/>
          </w:tcPr>
          <w:p w14:paraId="51A50315">
            <w:pPr>
              <w:spacing w:line="440" w:lineRule="exact"/>
              <w:jc w:val="center"/>
              <w:rPr>
                <w:szCs w:val="21"/>
              </w:rPr>
            </w:pPr>
          </w:p>
        </w:tc>
        <w:tc>
          <w:tcPr>
            <w:tcW w:w="719" w:type="dxa"/>
            <w:noWrap w:val="0"/>
            <w:vAlign w:val="top"/>
          </w:tcPr>
          <w:p w14:paraId="5FE7917C">
            <w:pPr>
              <w:spacing w:line="440" w:lineRule="exact"/>
              <w:jc w:val="center"/>
              <w:rPr>
                <w:szCs w:val="21"/>
              </w:rPr>
            </w:pPr>
          </w:p>
        </w:tc>
        <w:tc>
          <w:tcPr>
            <w:tcW w:w="1081" w:type="dxa"/>
            <w:noWrap w:val="0"/>
            <w:vAlign w:val="top"/>
          </w:tcPr>
          <w:p w14:paraId="44077F4C">
            <w:pPr>
              <w:spacing w:line="440" w:lineRule="exact"/>
              <w:jc w:val="center"/>
              <w:rPr>
                <w:szCs w:val="21"/>
              </w:rPr>
            </w:pPr>
          </w:p>
        </w:tc>
        <w:tc>
          <w:tcPr>
            <w:tcW w:w="719" w:type="dxa"/>
            <w:noWrap w:val="0"/>
            <w:vAlign w:val="top"/>
          </w:tcPr>
          <w:p w14:paraId="607CF6F2">
            <w:pPr>
              <w:spacing w:line="440" w:lineRule="exact"/>
              <w:jc w:val="center"/>
              <w:rPr>
                <w:szCs w:val="21"/>
              </w:rPr>
            </w:pPr>
          </w:p>
        </w:tc>
        <w:tc>
          <w:tcPr>
            <w:tcW w:w="721" w:type="dxa"/>
            <w:noWrap w:val="0"/>
            <w:vAlign w:val="top"/>
          </w:tcPr>
          <w:p w14:paraId="0AC30289">
            <w:pPr>
              <w:spacing w:line="440" w:lineRule="exact"/>
              <w:jc w:val="center"/>
              <w:rPr>
                <w:szCs w:val="21"/>
              </w:rPr>
            </w:pPr>
          </w:p>
        </w:tc>
        <w:tc>
          <w:tcPr>
            <w:tcW w:w="719" w:type="dxa"/>
            <w:noWrap w:val="0"/>
            <w:vAlign w:val="top"/>
          </w:tcPr>
          <w:p w14:paraId="0B9C3A9D">
            <w:pPr>
              <w:spacing w:line="440" w:lineRule="exact"/>
              <w:jc w:val="center"/>
              <w:rPr>
                <w:szCs w:val="21"/>
              </w:rPr>
            </w:pPr>
          </w:p>
        </w:tc>
        <w:tc>
          <w:tcPr>
            <w:tcW w:w="2523" w:type="dxa"/>
            <w:noWrap w:val="0"/>
            <w:vAlign w:val="top"/>
          </w:tcPr>
          <w:p w14:paraId="2F894236">
            <w:pPr>
              <w:spacing w:line="440" w:lineRule="exact"/>
              <w:jc w:val="center"/>
              <w:rPr>
                <w:szCs w:val="21"/>
              </w:rPr>
            </w:pPr>
          </w:p>
        </w:tc>
        <w:tc>
          <w:tcPr>
            <w:tcW w:w="672" w:type="dxa"/>
            <w:noWrap w:val="0"/>
            <w:vAlign w:val="top"/>
          </w:tcPr>
          <w:p w14:paraId="585DB91F">
            <w:pPr>
              <w:spacing w:line="440" w:lineRule="exact"/>
              <w:jc w:val="center"/>
              <w:rPr>
                <w:szCs w:val="21"/>
              </w:rPr>
            </w:pPr>
          </w:p>
        </w:tc>
      </w:tr>
      <w:tr w14:paraId="71D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5D737CA8">
            <w:pPr>
              <w:spacing w:line="440" w:lineRule="exact"/>
              <w:jc w:val="center"/>
              <w:rPr>
                <w:szCs w:val="21"/>
              </w:rPr>
            </w:pPr>
          </w:p>
        </w:tc>
        <w:tc>
          <w:tcPr>
            <w:tcW w:w="721" w:type="dxa"/>
            <w:noWrap w:val="0"/>
            <w:vAlign w:val="top"/>
          </w:tcPr>
          <w:p w14:paraId="41077A20">
            <w:pPr>
              <w:spacing w:line="440" w:lineRule="exact"/>
              <w:jc w:val="center"/>
              <w:rPr>
                <w:szCs w:val="21"/>
              </w:rPr>
            </w:pPr>
          </w:p>
        </w:tc>
        <w:tc>
          <w:tcPr>
            <w:tcW w:w="719" w:type="dxa"/>
            <w:noWrap w:val="0"/>
            <w:vAlign w:val="top"/>
          </w:tcPr>
          <w:p w14:paraId="7EBD62AA">
            <w:pPr>
              <w:spacing w:line="440" w:lineRule="exact"/>
              <w:jc w:val="center"/>
              <w:rPr>
                <w:szCs w:val="21"/>
              </w:rPr>
            </w:pPr>
          </w:p>
        </w:tc>
        <w:tc>
          <w:tcPr>
            <w:tcW w:w="1081" w:type="dxa"/>
            <w:noWrap w:val="0"/>
            <w:vAlign w:val="top"/>
          </w:tcPr>
          <w:p w14:paraId="34AB47B2">
            <w:pPr>
              <w:spacing w:line="440" w:lineRule="exact"/>
              <w:jc w:val="center"/>
              <w:rPr>
                <w:szCs w:val="21"/>
              </w:rPr>
            </w:pPr>
          </w:p>
        </w:tc>
        <w:tc>
          <w:tcPr>
            <w:tcW w:w="719" w:type="dxa"/>
            <w:noWrap w:val="0"/>
            <w:vAlign w:val="top"/>
          </w:tcPr>
          <w:p w14:paraId="475951ED">
            <w:pPr>
              <w:spacing w:line="440" w:lineRule="exact"/>
              <w:jc w:val="center"/>
              <w:rPr>
                <w:szCs w:val="21"/>
              </w:rPr>
            </w:pPr>
          </w:p>
        </w:tc>
        <w:tc>
          <w:tcPr>
            <w:tcW w:w="721" w:type="dxa"/>
            <w:noWrap w:val="0"/>
            <w:vAlign w:val="top"/>
          </w:tcPr>
          <w:p w14:paraId="77E5735E">
            <w:pPr>
              <w:spacing w:line="440" w:lineRule="exact"/>
              <w:jc w:val="center"/>
              <w:rPr>
                <w:szCs w:val="21"/>
              </w:rPr>
            </w:pPr>
          </w:p>
        </w:tc>
        <w:tc>
          <w:tcPr>
            <w:tcW w:w="719" w:type="dxa"/>
            <w:noWrap w:val="0"/>
            <w:vAlign w:val="top"/>
          </w:tcPr>
          <w:p w14:paraId="49CD4F00">
            <w:pPr>
              <w:spacing w:line="440" w:lineRule="exact"/>
              <w:jc w:val="center"/>
              <w:rPr>
                <w:szCs w:val="21"/>
              </w:rPr>
            </w:pPr>
          </w:p>
        </w:tc>
        <w:tc>
          <w:tcPr>
            <w:tcW w:w="2523" w:type="dxa"/>
            <w:noWrap w:val="0"/>
            <w:vAlign w:val="top"/>
          </w:tcPr>
          <w:p w14:paraId="75DB956F">
            <w:pPr>
              <w:spacing w:line="440" w:lineRule="exact"/>
              <w:jc w:val="center"/>
              <w:rPr>
                <w:szCs w:val="21"/>
              </w:rPr>
            </w:pPr>
          </w:p>
        </w:tc>
        <w:tc>
          <w:tcPr>
            <w:tcW w:w="672" w:type="dxa"/>
            <w:noWrap w:val="0"/>
            <w:vAlign w:val="top"/>
          </w:tcPr>
          <w:p w14:paraId="465D9688">
            <w:pPr>
              <w:spacing w:line="440" w:lineRule="exact"/>
              <w:jc w:val="center"/>
              <w:rPr>
                <w:szCs w:val="21"/>
              </w:rPr>
            </w:pPr>
          </w:p>
        </w:tc>
      </w:tr>
      <w:tr w14:paraId="6C8E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2500F5F0">
            <w:pPr>
              <w:spacing w:line="440" w:lineRule="exact"/>
              <w:jc w:val="center"/>
              <w:rPr>
                <w:szCs w:val="21"/>
              </w:rPr>
            </w:pPr>
          </w:p>
        </w:tc>
        <w:tc>
          <w:tcPr>
            <w:tcW w:w="721" w:type="dxa"/>
            <w:noWrap w:val="0"/>
            <w:vAlign w:val="top"/>
          </w:tcPr>
          <w:p w14:paraId="386C8973">
            <w:pPr>
              <w:spacing w:line="440" w:lineRule="exact"/>
              <w:jc w:val="center"/>
              <w:rPr>
                <w:szCs w:val="21"/>
              </w:rPr>
            </w:pPr>
          </w:p>
        </w:tc>
        <w:tc>
          <w:tcPr>
            <w:tcW w:w="719" w:type="dxa"/>
            <w:noWrap w:val="0"/>
            <w:vAlign w:val="top"/>
          </w:tcPr>
          <w:p w14:paraId="490B1823">
            <w:pPr>
              <w:spacing w:line="440" w:lineRule="exact"/>
              <w:jc w:val="center"/>
              <w:rPr>
                <w:szCs w:val="21"/>
              </w:rPr>
            </w:pPr>
          </w:p>
        </w:tc>
        <w:tc>
          <w:tcPr>
            <w:tcW w:w="1081" w:type="dxa"/>
            <w:noWrap w:val="0"/>
            <w:vAlign w:val="top"/>
          </w:tcPr>
          <w:p w14:paraId="61C78E75">
            <w:pPr>
              <w:spacing w:line="440" w:lineRule="exact"/>
              <w:jc w:val="center"/>
              <w:rPr>
                <w:szCs w:val="21"/>
              </w:rPr>
            </w:pPr>
          </w:p>
        </w:tc>
        <w:tc>
          <w:tcPr>
            <w:tcW w:w="719" w:type="dxa"/>
            <w:noWrap w:val="0"/>
            <w:vAlign w:val="top"/>
          </w:tcPr>
          <w:p w14:paraId="51DB0A14">
            <w:pPr>
              <w:spacing w:line="440" w:lineRule="exact"/>
              <w:jc w:val="center"/>
              <w:rPr>
                <w:szCs w:val="21"/>
              </w:rPr>
            </w:pPr>
          </w:p>
        </w:tc>
        <w:tc>
          <w:tcPr>
            <w:tcW w:w="721" w:type="dxa"/>
            <w:noWrap w:val="0"/>
            <w:vAlign w:val="top"/>
          </w:tcPr>
          <w:p w14:paraId="1D285121">
            <w:pPr>
              <w:spacing w:line="440" w:lineRule="exact"/>
              <w:jc w:val="center"/>
              <w:rPr>
                <w:szCs w:val="21"/>
              </w:rPr>
            </w:pPr>
          </w:p>
        </w:tc>
        <w:tc>
          <w:tcPr>
            <w:tcW w:w="719" w:type="dxa"/>
            <w:noWrap w:val="0"/>
            <w:vAlign w:val="top"/>
          </w:tcPr>
          <w:p w14:paraId="3EA54EE3">
            <w:pPr>
              <w:spacing w:line="440" w:lineRule="exact"/>
              <w:jc w:val="center"/>
              <w:rPr>
                <w:szCs w:val="21"/>
              </w:rPr>
            </w:pPr>
          </w:p>
        </w:tc>
        <w:tc>
          <w:tcPr>
            <w:tcW w:w="2523" w:type="dxa"/>
            <w:noWrap w:val="0"/>
            <w:vAlign w:val="top"/>
          </w:tcPr>
          <w:p w14:paraId="326110D1">
            <w:pPr>
              <w:spacing w:line="440" w:lineRule="exact"/>
              <w:jc w:val="center"/>
              <w:rPr>
                <w:szCs w:val="21"/>
              </w:rPr>
            </w:pPr>
          </w:p>
        </w:tc>
        <w:tc>
          <w:tcPr>
            <w:tcW w:w="672" w:type="dxa"/>
            <w:noWrap w:val="0"/>
            <w:vAlign w:val="top"/>
          </w:tcPr>
          <w:p w14:paraId="00E9D973">
            <w:pPr>
              <w:spacing w:line="440" w:lineRule="exact"/>
              <w:jc w:val="center"/>
              <w:rPr>
                <w:szCs w:val="21"/>
              </w:rPr>
            </w:pPr>
          </w:p>
        </w:tc>
      </w:tr>
      <w:tr w14:paraId="736A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6277428A">
            <w:pPr>
              <w:spacing w:line="440" w:lineRule="exact"/>
              <w:jc w:val="center"/>
              <w:rPr>
                <w:szCs w:val="21"/>
              </w:rPr>
            </w:pPr>
          </w:p>
        </w:tc>
        <w:tc>
          <w:tcPr>
            <w:tcW w:w="721" w:type="dxa"/>
            <w:noWrap w:val="0"/>
            <w:vAlign w:val="top"/>
          </w:tcPr>
          <w:p w14:paraId="7203B54D">
            <w:pPr>
              <w:spacing w:line="440" w:lineRule="exact"/>
              <w:jc w:val="center"/>
              <w:rPr>
                <w:szCs w:val="21"/>
              </w:rPr>
            </w:pPr>
          </w:p>
        </w:tc>
        <w:tc>
          <w:tcPr>
            <w:tcW w:w="719" w:type="dxa"/>
            <w:noWrap w:val="0"/>
            <w:vAlign w:val="top"/>
          </w:tcPr>
          <w:p w14:paraId="13C0D0E9">
            <w:pPr>
              <w:spacing w:line="440" w:lineRule="exact"/>
              <w:jc w:val="center"/>
              <w:rPr>
                <w:szCs w:val="21"/>
              </w:rPr>
            </w:pPr>
          </w:p>
        </w:tc>
        <w:tc>
          <w:tcPr>
            <w:tcW w:w="1081" w:type="dxa"/>
            <w:noWrap w:val="0"/>
            <w:vAlign w:val="top"/>
          </w:tcPr>
          <w:p w14:paraId="6426C864">
            <w:pPr>
              <w:spacing w:line="440" w:lineRule="exact"/>
              <w:jc w:val="center"/>
              <w:rPr>
                <w:szCs w:val="21"/>
              </w:rPr>
            </w:pPr>
          </w:p>
        </w:tc>
        <w:tc>
          <w:tcPr>
            <w:tcW w:w="719" w:type="dxa"/>
            <w:noWrap w:val="0"/>
            <w:vAlign w:val="top"/>
          </w:tcPr>
          <w:p w14:paraId="50B0922C">
            <w:pPr>
              <w:spacing w:line="440" w:lineRule="exact"/>
              <w:jc w:val="center"/>
              <w:rPr>
                <w:szCs w:val="21"/>
              </w:rPr>
            </w:pPr>
          </w:p>
        </w:tc>
        <w:tc>
          <w:tcPr>
            <w:tcW w:w="721" w:type="dxa"/>
            <w:noWrap w:val="0"/>
            <w:vAlign w:val="top"/>
          </w:tcPr>
          <w:p w14:paraId="1E6B8447">
            <w:pPr>
              <w:spacing w:line="440" w:lineRule="exact"/>
              <w:jc w:val="center"/>
              <w:rPr>
                <w:szCs w:val="21"/>
              </w:rPr>
            </w:pPr>
          </w:p>
        </w:tc>
        <w:tc>
          <w:tcPr>
            <w:tcW w:w="719" w:type="dxa"/>
            <w:noWrap w:val="0"/>
            <w:vAlign w:val="top"/>
          </w:tcPr>
          <w:p w14:paraId="0FB2D298">
            <w:pPr>
              <w:spacing w:line="440" w:lineRule="exact"/>
              <w:jc w:val="center"/>
              <w:rPr>
                <w:szCs w:val="21"/>
              </w:rPr>
            </w:pPr>
          </w:p>
        </w:tc>
        <w:tc>
          <w:tcPr>
            <w:tcW w:w="2523" w:type="dxa"/>
            <w:noWrap w:val="0"/>
            <w:vAlign w:val="top"/>
          </w:tcPr>
          <w:p w14:paraId="51F13D47">
            <w:pPr>
              <w:spacing w:line="440" w:lineRule="exact"/>
              <w:jc w:val="center"/>
              <w:rPr>
                <w:szCs w:val="21"/>
              </w:rPr>
            </w:pPr>
          </w:p>
        </w:tc>
        <w:tc>
          <w:tcPr>
            <w:tcW w:w="672" w:type="dxa"/>
            <w:noWrap w:val="0"/>
            <w:vAlign w:val="top"/>
          </w:tcPr>
          <w:p w14:paraId="1A728C44">
            <w:pPr>
              <w:spacing w:line="440" w:lineRule="exact"/>
              <w:jc w:val="center"/>
              <w:rPr>
                <w:szCs w:val="21"/>
              </w:rPr>
            </w:pPr>
          </w:p>
        </w:tc>
      </w:tr>
      <w:tr w14:paraId="79CC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00FE1CA">
            <w:pPr>
              <w:spacing w:line="440" w:lineRule="exact"/>
              <w:jc w:val="center"/>
              <w:rPr>
                <w:szCs w:val="21"/>
              </w:rPr>
            </w:pPr>
          </w:p>
        </w:tc>
        <w:tc>
          <w:tcPr>
            <w:tcW w:w="721" w:type="dxa"/>
            <w:noWrap w:val="0"/>
            <w:vAlign w:val="top"/>
          </w:tcPr>
          <w:p w14:paraId="3B8052BC">
            <w:pPr>
              <w:spacing w:line="440" w:lineRule="exact"/>
              <w:jc w:val="center"/>
              <w:rPr>
                <w:szCs w:val="21"/>
              </w:rPr>
            </w:pPr>
          </w:p>
        </w:tc>
        <w:tc>
          <w:tcPr>
            <w:tcW w:w="719" w:type="dxa"/>
            <w:noWrap w:val="0"/>
            <w:vAlign w:val="top"/>
          </w:tcPr>
          <w:p w14:paraId="2FD79B04">
            <w:pPr>
              <w:spacing w:line="440" w:lineRule="exact"/>
              <w:jc w:val="center"/>
              <w:rPr>
                <w:szCs w:val="21"/>
              </w:rPr>
            </w:pPr>
          </w:p>
        </w:tc>
        <w:tc>
          <w:tcPr>
            <w:tcW w:w="1081" w:type="dxa"/>
            <w:noWrap w:val="0"/>
            <w:vAlign w:val="top"/>
          </w:tcPr>
          <w:p w14:paraId="51BCE575">
            <w:pPr>
              <w:spacing w:line="440" w:lineRule="exact"/>
              <w:jc w:val="center"/>
              <w:rPr>
                <w:szCs w:val="21"/>
              </w:rPr>
            </w:pPr>
          </w:p>
        </w:tc>
        <w:tc>
          <w:tcPr>
            <w:tcW w:w="719" w:type="dxa"/>
            <w:noWrap w:val="0"/>
            <w:vAlign w:val="top"/>
          </w:tcPr>
          <w:p w14:paraId="6764130F">
            <w:pPr>
              <w:spacing w:line="440" w:lineRule="exact"/>
              <w:jc w:val="center"/>
              <w:rPr>
                <w:szCs w:val="21"/>
              </w:rPr>
            </w:pPr>
          </w:p>
        </w:tc>
        <w:tc>
          <w:tcPr>
            <w:tcW w:w="721" w:type="dxa"/>
            <w:noWrap w:val="0"/>
            <w:vAlign w:val="top"/>
          </w:tcPr>
          <w:p w14:paraId="479546C1">
            <w:pPr>
              <w:spacing w:line="440" w:lineRule="exact"/>
              <w:jc w:val="center"/>
              <w:rPr>
                <w:szCs w:val="21"/>
              </w:rPr>
            </w:pPr>
          </w:p>
        </w:tc>
        <w:tc>
          <w:tcPr>
            <w:tcW w:w="719" w:type="dxa"/>
            <w:noWrap w:val="0"/>
            <w:vAlign w:val="top"/>
          </w:tcPr>
          <w:p w14:paraId="5A1880C4">
            <w:pPr>
              <w:spacing w:line="440" w:lineRule="exact"/>
              <w:jc w:val="center"/>
              <w:rPr>
                <w:szCs w:val="21"/>
              </w:rPr>
            </w:pPr>
          </w:p>
        </w:tc>
        <w:tc>
          <w:tcPr>
            <w:tcW w:w="2523" w:type="dxa"/>
            <w:noWrap w:val="0"/>
            <w:vAlign w:val="top"/>
          </w:tcPr>
          <w:p w14:paraId="4D74D6C5">
            <w:pPr>
              <w:spacing w:line="440" w:lineRule="exact"/>
              <w:jc w:val="center"/>
              <w:rPr>
                <w:szCs w:val="21"/>
              </w:rPr>
            </w:pPr>
          </w:p>
        </w:tc>
        <w:tc>
          <w:tcPr>
            <w:tcW w:w="672" w:type="dxa"/>
            <w:noWrap w:val="0"/>
            <w:vAlign w:val="top"/>
          </w:tcPr>
          <w:p w14:paraId="42031894">
            <w:pPr>
              <w:spacing w:line="440" w:lineRule="exact"/>
              <w:jc w:val="center"/>
              <w:rPr>
                <w:szCs w:val="21"/>
              </w:rPr>
            </w:pPr>
          </w:p>
        </w:tc>
      </w:tr>
      <w:tr w14:paraId="555E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29BA8B9">
            <w:pPr>
              <w:spacing w:line="440" w:lineRule="exact"/>
              <w:jc w:val="center"/>
              <w:rPr>
                <w:szCs w:val="21"/>
              </w:rPr>
            </w:pPr>
          </w:p>
        </w:tc>
        <w:tc>
          <w:tcPr>
            <w:tcW w:w="721" w:type="dxa"/>
            <w:noWrap w:val="0"/>
            <w:vAlign w:val="top"/>
          </w:tcPr>
          <w:p w14:paraId="2A83033E">
            <w:pPr>
              <w:spacing w:line="440" w:lineRule="exact"/>
              <w:jc w:val="center"/>
              <w:rPr>
                <w:szCs w:val="21"/>
              </w:rPr>
            </w:pPr>
          </w:p>
        </w:tc>
        <w:tc>
          <w:tcPr>
            <w:tcW w:w="719" w:type="dxa"/>
            <w:noWrap w:val="0"/>
            <w:vAlign w:val="top"/>
          </w:tcPr>
          <w:p w14:paraId="5E56942E">
            <w:pPr>
              <w:spacing w:line="440" w:lineRule="exact"/>
              <w:jc w:val="center"/>
              <w:rPr>
                <w:szCs w:val="21"/>
              </w:rPr>
            </w:pPr>
          </w:p>
        </w:tc>
        <w:tc>
          <w:tcPr>
            <w:tcW w:w="1081" w:type="dxa"/>
            <w:noWrap w:val="0"/>
            <w:vAlign w:val="top"/>
          </w:tcPr>
          <w:p w14:paraId="136BB0A0">
            <w:pPr>
              <w:spacing w:line="440" w:lineRule="exact"/>
              <w:jc w:val="center"/>
              <w:rPr>
                <w:szCs w:val="21"/>
              </w:rPr>
            </w:pPr>
          </w:p>
        </w:tc>
        <w:tc>
          <w:tcPr>
            <w:tcW w:w="719" w:type="dxa"/>
            <w:noWrap w:val="0"/>
            <w:vAlign w:val="top"/>
          </w:tcPr>
          <w:p w14:paraId="104DA540">
            <w:pPr>
              <w:spacing w:line="440" w:lineRule="exact"/>
              <w:jc w:val="center"/>
              <w:rPr>
                <w:szCs w:val="21"/>
              </w:rPr>
            </w:pPr>
          </w:p>
        </w:tc>
        <w:tc>
          <w:tcPr>
            <w:tcW w:w="721" w:type="dxa"/>
            <w:noWrap w:val="0"/>
            <w:vAlign w:val="top"/>
          </w:tcPr>
          <w:p w14:paraId="43C2C945">
            <w:pPr>
              <w:spacing w:line="440" w:lineRule="exact"/>
              <w:jc w:val="center"/>
              <w:rPr>
                <w:szCs w:val="21"/>
              </w:rPr>
            </w:pPr>
          </w:p>
        </w:tc>
        <w:tc>
          <w:tcPr>
            <w:tcW w:w="719" w:type="dxa"/>
            <w:noWrap w:val="0"/>
            <w:vAlign w:val="top"/>
          </w:tcPr>
          <w:p w14:paraId="2DEAEB11">
            <w:pPr>
              <w:spacing w:line="440" w:lineRule="exact"/>
              <w:jc w:val="center"/>
              <w:rPr>
                <w:szCs w:val="21"/>
              </w:rPr>
            </w:pPr>
          </w:p>
        </w:tc>
        <w:tc>
          <w:tcPr>
            <w:tcW w:w="2523" w:type="dxa"/>
            <w:noWrap w:val="0"/>
            <w:vAlign w:val="top"/>
          </w:tcPr>
          <w:p w14:paraId="0910E6B6">
            <w:pPr>
              <w:spacing w:line="440" w:lineRule="exact"/>
              <w:jc w:val="center"/>
              <w:rPr>
                <w:szCs w:val="21"/>
              </w:rPr>
            </w:pPr>
          </w:p>
        </w:tc>
        <w:tc>
          <w:tcPr>
            <w:tcW w:w="672" w:type="dxa"/>
            <w:noWrap w:val="0"/>
            <w:vAlign w:val="top"/>
          </w:tcPr>
          <w:p w14:paraId="430256FD">
            <w:pPr>
              <w:spacing w:line="440" w:lineRule="exact"/>
              <w:jc w:val="center"/>
              <w:rPr>
                <w:szCs w:val="21"/>
              </w:rPr>
            </w:pPr>
          </w:p>
        </w:tc>
      </w:tr>
      <w:tr w14:paraId="085C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377825A">
            <w:pPr>
              <w:spacing w:line="440" w:lineRule="exact"/>
              <w:jc w:val="center"/>
              <w:rPr>
                <w:szCs w:val="21"/>
              </w:rPr>
            </w:pPr>
          </w:p>
        </w:tc>
        <w:tc>
          <w:tcPr>
            <w:tcW w:w="721" w:type="dxa"/>
            <w:noWrap w:val="0"/>
            <w:vAlign w:val="top"/>
          </w:tcPr>
          <w:p w14:paraId="784AB411">
            <w:pPr>
              <w:spacing w:line="440" w:lineRule="exact"/>
              <w:jc w:val="center"/>
              <w:rPr>
                <w:szCs w:val="21"/>
              </w:rPr>
            </w:pPr>
          </w:p>
        </w:tc>
        <w:tc>
          <w:tcPr>
            <w:tcW w:w="719" w:type="dxa"/>
            <w:noWrap w:val="0"/>
            <w:vAlign w:val="top"/>
          </w:tcPr>
          <w:p w14:paraId="0A3CA597">
            <w:pPr>
              <w:spacing w:line="440" w:lineRule="exact"/>
              <w:jc w:val="center"/>
              <w:rPr>
                <w:szCs w:val="21"/>
              </w:rPr>
            </w:pPr>
          </w:p>
        </w:tc>
        <w:tc>
          <w:tcPr>
            <w:tcW w:w="1081" w:type="dxa"/>
            <w:noWrap w:val="0"/>
            <w:vAlign w:val="top"/>
          </w:tcPr>
          <w:p w14:paraId="1DABD5A4">
            <w:pPr>
              <w:spacing w:line="440" w:lineRule="exact"/>
              <w:jc w:val="center"/>
              <w:rPr>
                <w:szCs w:val="21"/>
              </w:rPr>
            </w:pPr>
          </w:p>
        </w:tc>
        <w:tc>
          <w:tcPr>
            <w:tcW w:w="719" w:type="dxa"/>
            <w:noWrap w:val="0"/>
            <w:vAlign w:val="top"/>
          </w:tcPr>
          <w:p w14:paraId="5C3A3AB8">
            <w:pPr>
              <w:spacing w:line="440" w:lineRule="exact"/>
              <w:jc w:val="center"/>
              <w:rPr>
                <w:szCs w:val="21"/>
              </w:rPr>
            </w:pPr>
          </w:p>
        </w:tc>
        <w:tc>
          <w:tcPr>
            <w:tcW w:w="721" w:type="dxa"/>
            <w:noWrap w:val="0"/>
            <w:vAlign w:val="top"/>
          </w:tcPr>
          <w:p w14:paraId="09B839C6">
            <w:pPr>
              <w:spacing w:line="440" w:lineRule="exact"/>
              <w:jc w:val="center"/>
              <w:rPr>
                <w:szCs w:val="21"/>
              </w:rPr>
            </w:pPr>
          </w:p>
        </w:tc>
        <w:tc>
          <w:tcPr>
            <w:tcW w:w="719" w:type="dxa"/>
            <w:noWrap w:val="0"/>
            <w:vAlign w:val="top"/>
          </w:tcPr>
          <w:p w14:paraId="799BCF44">
            <w:pPr>
              <w:spacing w:line="440" w:lineRule="exact"/>
              <w:jc w:val="center"/>
              <w:rPr>
                <w:szCs w:val="21"/>
              </w:rPr>
            </w:pPr>
          </w:p>
        </w:tc>
        <w:tc>
          <w:tcPr>
            <w:tcW w:w="2523" w:type="dxa"/>
            <w:noWrap w:val="0"/>
            <w:vAlign w:val="top"/>
          </w:tcPr>
          <w:p w14:paraId="02CC0626">
            <w:pPr>
              <w:spacing w:line="440" w:lineRule="exact"/>
              <w:jc w:val="center"/>
              <w:rPr>
                <w:szCs w:val="21"/>
              </w:rPr>
            </w:pPr>
          </w:p>
        </w:tc>
        <w:tc>
          <w:tcPr>
            <w:tcW w:w="672" w:type="dxa"/>
            <w:noWrap w:val="0"/>
            <w:vAlign w:val="top"/>
          </w:tcPr>
          <w:p w14:paraId="63478FE2">
            <w:pPr>
              <w:spacing w:line="440" w:lineRule="exact"/>
              <w:jc w:val="center"/>
              <w:rPr>
                <w:szCs w:val="21"/>
              </w:rPr>
            </w:pPr>
          </w:p>
        </w:tc>
      </w:tr>
      <w:tr w14:paraId="7C2E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27672E9">
            <w:pPr>
              <w:spacing w:line="440" w:lineRule="exact"/>
              <w:jc w:val="center"/>
              <w:rPr>
                <w:szCs w:val="21"/>
              </w:rPr>
            </w:pPr>
          </w:p>
        </w:tc>
        <w:tc>
          <w:tcPr>
            <w:tcW w:w="721" w:type="dxa"/>
            <w:noWrap w:val="0"/>
            <w:vAlign w:val="top"/>
          </w:tcPr>
          <w:p w14:paraId="3B9996AD">
            <w:pPr>
              <w:spacing w:line="440" w:lineRule="exact"/>
              <w:jc w:val="center"/>
              <w:rPr>
                <w:szCs w:val="21"/>
              </w:rPr>
            </w:pPr>
          </w:p>
        </w:tc>
        <w:tc>
          <w:tcPr>
            <w:tcW w:w="719" w:type="dxa"/>
            <w:noWrap w:val="0"/>
            <w:vAlign w:val="top"/>
          </w:tcPr>
          <w:p w14:paraId="0B1A2367">
            <w:pPr>
              <w:spacing w:line="440" w:lineRule="exact"/>
              <w:jc w:val="center"/>
              <w:rPr>
                <w:szCs w:val="21"/>
              </w:rPr>
            </w:pPr>
          </w:p>
        </w:tc>
        <w:tc>
          <w:tcPr>
            <w:tcW w:w="1081" w:type="dxa"/>
            <w:noWrap w:val="0"/>
            <w:vAlign w:val="top"/>
          </w:tcPr>
          <w:p w14:paraId="49DBAB84">
            <w:pPr>
              <w:spacing w:line="440" w:lineRule="exact"/>
              <w:jc w:val="center"/>
              <w:rPr>
                <w:szCs w:val="21"/>
              </w:rPr>
            </w:pPr>
          </w:p>
        </w:tc>
        <w:tc>
          <w:tcPr>
            <w:tcW w:w="719" w:type="dxa"/>
            <w:noWrap w:val="0"/>
            <w:vAlign w:val="top"/>
          </w:tcPr>
          <w:p w14:paraId="5BE2D71A">
            <w:pPr>
              <w:spacing w:line="440" w:lineRule="exact"/>
              <w:jc w:val="center"/>
              <w:rPr>
                <w:szCs w:val="21"/>
              </w:rPr>
            </w:pPr>
          </w:p>
        </w:tc>
        <w:tc>
          <w:tcPr>
            <w:tcW w:w="721" w:type="dxa"/>
            <w:noWrap w:val="0"/>
            <w:vAlign w:val="top"/>
          </w:tcPr>
          <w:p w14:paraId="4847CB4C">
            <w:pPr>
              <w:spacing w:line="440" w:lineRule="exact"/>
              <w:jc w:val="center"/>
              <w:rPr>
                <w:szCs w:val="21"/>
              </w:rPr>
            </w:pPr>
          </w:p>
        </w:tc>
        <w:tc>
          <w:tcPr>
            <w:tcW w:w="719" w:type="dxa"/>
            <w:noWrap w:val="0"/>
            <w:vAlign w:val="top"/>
          </w:tcPr>
          <w:p w14:paraId="00620979">
            <w:pPr>
              <w:spacing w:line="440" w:lineRule="exact"/>
              <w:jc w:val="center"/>
              <w:rPr>
                <w:szCs w:val="21"/>
              </w:rPr>
            </w:pPr>
          </w:p>
        </w:tc>
        <w:tc>
          <w:tcPr>
            <w:tcW w:w="2523" w:type="dxa"/>
            <w:noWrap w:val="0"/>
            <w:vAlign w:val="top"/>
          </w:tcPr>
          <w:p w14:paraId="0F992AD5">
            <w:pPr>
              <w:spacing w:line="440" w:lineRule="exact"/>
              <w:jc w:val="center"/>
              <w:rPr>
                <w:szCs w:val="21"/>
              </w:rPr>
            </w:pPr>
          </w:p>
        </w:tc>
        <w:tc>
          <w:tcPr>
            <w:tcW w:w="672" w:type="dxa"/>
            <w:noWrap w:val="0"/>
            <w:vAlign w:val="top"/>
          </w:tcPr>
          <w:p w14:paraId="4EF03345">
            <w:pPr>
              <w:spacing w:line="440" w:lineRule="exact"/>
              <w:jc w:val="center"/>
              <w:rPr>
                <w:szCs w:val="21"/>
              </w:rPr>
            </w:pPr>
          </w:p>
        </w:tc>
      </w:tr>
      <w:tr w14:paraId="5B6B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3112ED94">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71BD5F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13546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9C86EB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D22DAEC">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5DCA8E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3F7AE0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FEF0627">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52ADFF9">
            <w:pPr>
              <w:spacing w:line="440" w:lineRule="exact"/>
              <w:jc w:val="center"/>
              <w:rPr>
                <w:szCs w:val="21"/>
              </w:rPr>
            </w:pPr>
          </w:p>
        </w:tc>
      </w:tr>
      <w:tr w14:paraId="4B2A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6D8D4F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3FF21A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1CE214A">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CF4707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A3AB1C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C2F8AF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395AB1">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3A0083F">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E250AC5">
            <w:pPr>
              <w:spacing w:line="440" w:lineRule="exact"/>
              <w:jc w:val="center"/>
              <w:rPr>
                <w:szCs w:val="21"/>
              </w:rPr>
            </w:pPr>
          </w:p>
        </w:tc>
      </w:tr>
      <w:tr w14:paraId="0794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D00536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91D241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B7CF9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F3DD37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B77349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E4051F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962EF3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389AFCB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3DF954">
            <w:pPr>
              <w:spacing w:line="440" w:lineRule="exact"/>
              <w:jc w:val="center"/>
              <w:rPr>
                <w:szCs w:val="21"/>
              </w:rPr>
            </w:pPr>
          </w:p>
        </w:tc>
      </w:tr>
      <w:tr w14:paraId="63C9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1676E82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6D6577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611F62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3EA261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FF03D8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B012A4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61113EC">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8732E8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E929B8F">
            <w:pPr>
              <w:spacing w:line="440" w:lineRule="exact"/>
              <w:jc w:val="center"/>
              <w:rPr>
                <w:szCs w:val="21"/>
              </w:rPr>
            </w:pPr>
          </w:p>
        </w:tc>
      </w:tr>
      <w:tr w14:paraId="6501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2E664A4D">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BA581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AD56961">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D6CE9D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8EDFF2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469FB9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67CA6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442A7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643A57">
            <w:pPr>
              <w:spacing w:line="440" w:lineRule="exact"/>
              <w:jc w:val="center"/>
              <w:rPr>
                <w:szCs w:val="21"/>
              </w:rPr>
            </w:pPr>
          </w:p>
        </w:tc>
      </w:tr>
      <w:tr w14:paraId="4B64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82DF7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873735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D6FB1F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EC1398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C6093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DD24C73">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4E1D60A">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57A5B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6ECD3E4">
            <w:pPr>
              <w:spacing w:line="440" w:lineRule="exact"/>
              <w:jc w:val="center"/>
              <w:rPr>
                <w:szCs w:val="21"/>
              </w:rPr>
            </w:pPr>
          </w:p>
        </w:tc>
      </w:tr>
      <w:tr w14:paraId="14BB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C289F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6BD583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918ADDF">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30ECCE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0794E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7CCF5C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5E92AD7">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962F33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3DAE018">
            <w:pPr>
              <w:spacing w:line="440" w:lineRule="exact"/>
              <w:jc w:val="center"/>
              <w:rPr>
                <w:szCs w:val="21"/>
              </w:rPr>
            </w:pPr>
          </w:p>
        </w:tc>
      </w:tr>
      <w:tr w14:paraId="1188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72B4ECE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740F4C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129BDE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6CC90BF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E26EDB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192126F">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34297E4">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6887D4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1BB0FC9">
            <w:pPr>
              <w:spacing w:line="440" w:lineRule="exact"/>
              <w:jc w:val="center"/>
              <w:rPr>
                <w:szCs w:val="21"/>
              </w:rPr>
            </w:pPr>
          </w:p>
        </w:tc>
      </w:tr>
      <w:tr w14:paraId="58D4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F751C5E">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D907AC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E0202F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7D99CE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411578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9246A1">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C614405">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279AAC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6C09D2F">
            <w:pPr>
              <w:spacing w:line="440" w:lineRule="exact"/>
              <w:jc w:val="center"/>
              <w:rPr>
                <w:szCs w:val="21"/>
              </w:rPr>
            </w:pPr>
          </w:p>
        </w:tc>
      </w:tr>
      <w:tr w14:paraId="6BE9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BCF3A1">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6CEB1E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2AA093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B98C62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61C49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8186B1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9F175F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0744414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FD2D64A">
            <w:pPr>
              <w:spacing w:line="440" w:lineRule="exact"/>
              <w:jc w:val="center"/>
              <w:rPr>
                <w:szCs w:val="21"/>
              </w:rPr>
            </w:pPr>
          </w:p>
        </w:tc>
      </w:tr>
    </w:tbl>
    <w:p w14:paraId="1E1AA95D">
      <w:pPr>
        <w:topLinePunct/>
        <w:spacing w:line="440" w:lineRule="exact"/>
        <w:jc w:val="center"/>
        <w:rPr>
          <w:sz w:val="20"/>
        </w:rPr>
      </w:pPr>
    </w:p>
    <w:p w14:paraId="29AFF0DB">
      <w:pPr>
        <w:topLinePunct/>
        <w:spacing w:line="440" w:lineRule="exact"/>
        <w:jc w:val="center"/>
        <w:rPr>
          <w:rFonts w:hint="eastAsia"/>
          <w:sz w:val="20"/>
        </w:rPr>
      </w:pPr>
      <w:r>
        <w:rPr>
          <w:sz w:val="20"/>
        </w:rPr>
        <w:br w:type="page"/>
      </w:r>
    </w:p>
    <w:p w14:paraId="059BBE22">
      <w:pPr>
        <w:pStyle w:val="4"/>
        <w:jc w:val="both"/>
        <w:rPr>
          <w:rFonts w:eastAsia="黑体"/>
          <w:sz w:val="23"/>
          <w:szCs w:val="23"/>
        </w:rPr>
      </w:pPr>
      <w:bookmarkStart w:id="306" w:name="_Toc296602616"/>
      <w:bookmarkStart w:id="307" w:name="_Toc246997114"/>
      <w:bookmarkStart w:id="308" w:name="_Toc246996371"/>
      <w:bookmarkStart w:id="309" w:name="_Toc247085889"/>
      <w:r>
        <w:t>（</w:t>
      </w:r>
      <w:r>
        <w:rPr>
          <w:rFonts w:hint="eastAsia"/>
          <w:lang w:val="en-US" w:eastAsia="zh-CN"/>
        </w:rPr>
        <w:t>三</w:t>
      </w:r>
      <w:r>
        <w:t>）</w:t>
      </w:r>
      <w:r>
        <w:rPr>
          <w:rFonts w:hint="eastAsia"/>
          <w:lang w:eastAsia="zh-CN"/>
        </w:rPr>
        <w:t>项目负责人</w:t>
      </w:r>
      <w:r>
        <w:t>简历表</w:t>
      </w:r>
      <w:bookmarkEnd w:id="306"/>
      <w:bookmarkEnd w:id="307"/>
      <w:bookmarkEnd w:id="308"/>
      <w:bookmarkEnd w:id="309"/>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AF4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5BC0B150">
            <w:pPr>
              <w:spacing w:line="440" w:lineRule="exact"/>
              <w:jc w:val="center"/>
              <w:rPr>
                <w:rFonts w:ascii="宋体" w:hAnsi="宋体"/>
                <w:szCs w:val="21"/>
              </w:rPr>
            </w:pPr>
            <w:r>
              <w:rPr>
                <w:rFonts w:ascii="宋体" w:hAnsi="宋体"/>
                <w:szCs w:val="21"/>
              </w:rPr>
              <w:t>姓  名</w:t>
            </w:r>
          </w:p>
        </w:tc>
        <w:tc>
          <w:tcPr>
            <w:tcW w:w="1079" w:type="dxa"/>
            <w:gridSpan w:val="2"/>
            <w:noWrap w:val="0"/>
            <w:vAlign w:val="center"/>
          </w:tcPr>
          <w:p w14:paraId="70A26EA4">
            <w:pPr>
              <w:spacing w:line="440" w:lineRule="exact"/>
              <w:jc w:val="center"/>
              <w:rPr>
                <w:rFonts w:ascii="宋体" w:hAnsi="宋体"/>
                <w:szCs w:val="21"/>
              </w:rPr>
            </w:pPr>
          </w:p>
        </w:tc>
        <w:tc>
          <w:tcPr>
            <w:tcW w:w="927" w:type="dxa"/>
            <w:noWrap w:val="0"/>
            <w:vAlign w:val="center"/>
          </w:tcPr>
          <w:p w14:paraId="74547CA6">
            <w:pPr>
              <w:spacing w:line="440" w:lineRule="exact"/>
              <w:jc w:val="center"/>
              <w:rPr>
                <w:rFonts w:ascii="宋体" w:hAnsi="宋体"/>
                <w:szCs w:val="21"/>
              </w:rPr>
            </w:pPr>
            <w:r>
              <w:rPr>
                <w:rFonts w:ascii="宋体" w:hAnsi="宋体"/>
                <w:szCs w:val="21"/>
              </w:rPr>
              <w:t>年 龄</w:t>
            </w:r>
          </w:p>
        </w:tc>
        <w:tc>
          <w:tcPr>
            <w:tcW w:w="1065" w:type="dxa"/>
            <w:noWrap w:val="0"/>
            <w:vAlign w:val="center"/>
          </w:tcPr>
          <w:p w14:paraId="61FAEA73">
            <w:pPr>
              <w:spacing w:line="440" w:lineRule="exact"/>
              <w:jc w:val="center"/>
              <w:rPr>
                <w:rFonts w:ascii="宋体" w:hAnsi="宋体"/>
                <w:szCs w:val="21"/>
              </w:rPr>
            </w:pPr>
          </w:p>
        </w:tc>
        <w:tc>
          <w:tcPr>
            <w:tcW w:w="2130" w:type="dxa"/>
            <w:gridSpan w:val="3"/>
            <w:noWrap w:val="0"/>
            <w:vAlign w:val="center"/>
          </w:tcPr>
          <w:p w14:paraId="2C3E98D4">
            <w:pPr>
              <w:spacing w:line="440" w:lineRule="exact"/>
              <w:jc w:val="center"/>
              <w:rPr>
                <w:rFonts w:ascii="宋体" w:hAnsi="宋体"/>
                <w:szCs w:val="21"/>
              </w:rPr>
            </w:pPr>
            <w:r>
              <w:rPr>
                <w:rFonts w:ascii="宋体" w:hAnsi="宋体"/>
                <w:szCs w:val="21"/>
              </w:rPr>
              <w:t>学历</w:t>
            </w:r>
          </w:p>
        </w:tc>
        <w:tc>
          <w:tcPr>
            <w:tcW w:w="2135" w:type="dxa"/>
            <w:noWrap w:val="0"/>
            <w:vAlign w:val="center"/>
          </w:tcPr>
          <w:p w14:paraId="4772E47A">
            <w:pPr>
              <w:spacing w:line="440" w:lineRule="exact"/>
              <w:rPr>
                <w:rFonts w:ascii="宋体" w:hAnsi="宋体"/>
                <w:szCs w:val="21"/>
              </w:rPr>
            </w:pPr>
          </w:p>
        </w:tc>
      </w:tr>
      <w:tr w14:paraId="304E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74E09A44">
            <w:pPr>
              <w:spacing w:line="440" w:lineRule="exact"/>
              <w:jc w:val="center"/>
              <w:rPr>
                <w:rFonts w:ascii="宋体" w:hAnsi="宋体"/>
                <w:szCs w:val="21"/>
              </w:rPr>
            </w:pPr>
            <w:r>
              <w:rPr>
                <w:rFonts w:ascii="宋体" w:hAnsi="宋体"/>
                <w:szCs w:val="21"/>
              </w:rPr>
              <w:t>职  称</w:t>
            </w:r>
          </w:p>
        </w:tc>
        <w:tc>
          <w:tcPr>
            <w:tcW w:w="1079" w:type="dxa"/>
            <w:gridSpan w:val="2"/>
            <w:noWrap w:val="0"/>
            <w:vAlign w:val="center"/>
          </w:tcPr>
          <w:p w14:paraId="699E5B74">
            <w:pPr>
              <w:spacing w:line="440" w:lineRule="exact"/>
              <w:jc w:val="center"/>
              <w:rPr>
                <w:rFonts w:ascii="宋体" w:hAnsi="宋体"/>
                <w:szCs w:val="21"/>
              </w:rPr>
            </w:pPr>
          </w:p>
        </w:tc>
        <w:tc>
          <w:tcPr>
            <w:tcW w:w="927" w:type="dxa"/>
            <w:noWrap w:val="0"/>
            <w:vAlign w:val="center"/>
          </w:tcPr>
          <w:p w14:paraId="3E8F115B">
            <w:pPr>
              <w:spacing w:line="440" w:lineRule="exact"/>
              <w:jc w:val="center"/>
              <w:rPr>
                <w:rFonts w:ascii="宋体" w:hAnsi="宋体"/>
                <w:szCs w:val="21"/>
              </w:rPr>
            </w:pPr>
            <w:r>
              <w:rPr>
                <w:rFonts w:ascii="宋体" w:hAnsi="宋体"/>
                <w:szCs w:val="21"/>
              </w:rPr>
              <w:t>职 务</w:t>
            </w:r>
          </w:p>
        </w:tc>
        <w:tc>
          <w:tcPr>
            <w:tcW w:w="1065" w:type="dxa"/>
            <w:noWrap w:val="0"/>
            <w:vAlign w:val="center"/>
          </w:tcPr>
          <w:p w14:paraId="55937A42">
            <w:pPr>
              <w:spacing w:line="440" w:lineRule="exact"/>
              <w:jc w:val="center"/>
              <w:rPr>
                <w:rFonts w:ascii="宋体" w:hAnsi="宋体"/>
                <w:szCs w:val="21"/>
              </w:rPr>
            </w:pPr>
          </w:p>
        </w:tc>
        <w:tc>
          <w:tcPr>
            <w:tcW w:w="2130" w:type="dxa"/>
            <w:gridSpan w:val="3"/>
            <w:noWrap w:val="0"/>
            <w:vAlign w:val="center"/>
          </w:tcPr>
          <w:p w14:paraId="6673772B">
            <w:pPr>
              <w:spacing w:line="440" w:lineRule="exact"/>
              <w:jc w:val="center"/>
              <w:rPr>
                <w:rFonts w:ascii="宋体" w:hAnsi="宋体"/>
                <w:szCs w:val="21"/>
              </w:rPr>
            </w:pPr>
            <w:r>
              <w:rPr>
                <w:rFonts w:ascii="宋体" w:hAnsi="宋体"/>
                <w:szCs w:val="21"/>
              </w:rPr>
              <w:t>拟在本合同任职</w:t>
            </w:r>
          </w:p>
        </w:tc>
        <w:tc>
          <w:tcPr>
            <w:tcW w:w="2135" w:type="dxa"/>
            <w:noWrap w:val="0"/>
            <w:vAlign w:val="center"/>
          </w:tcPr>
          <w:p w14:paraId="44576179">
            <w:pPr>
              <w:spacing w:line="440" w:lineRule="exact"/>
              <w:rPr>
                <w:rFonts w:ascii="宋体" w:hAnsi="宋体"/>
                <w:szCs w:val="21"/>
              </w:rPr>
            </w:pPr>
          </w:p>
        </w:tc>
      </w:tr>
      <w:tr w14:paraId="5AC1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18F7B005">
            <w:pPr>
              <w:spacing w:line="440" w:lineRule="exact"/>
              <w:rPr>
                <w:rFonts w:ascii="宋体" w:hAnsi="宋体"/>
                <w:szCs w:val="21"/>
              </w:rPr>
            </w:pPr>
            <w:r>
              <w:rPr>
                <w:rFonts w:ascii="宋体" w:hAnsi="宋体"/>
                <w:szCs w:val="21"/>
              </w:rPr>
              <w:t>毕业学校</w:t>
            </w:r>
          </w:p>
        </w:tc>
        <w:tc>
          <w:tcPr>
            <w:tcW w:w="7336" w:type="dxa"/>
            <w:gridSpan w:val="8"/>
            <w:noWrap w:val="0"/>
            <w:vAlign w:val="top"/>
          </w:tcPr>
          <w:p w14:paraId="76E5F476">
            <w:pPr>
              <w:spacing w:line="440" w:lineRule="exact"/>
              <w:rPr>
                <w:rFonts w:ascii="宋体" w:hAnsi="宋体"/>
                <w:szCs w:val="21"/>
              </w:rPr>
            </w:pPr>
            <w:r>
              <w:rPr>
                <w:rFonts w:ascii="宋体" w:hAnsi="宋体"/>
                <w:szCs w:val="21"/>
              </w:rPr>
              <w:t xml:space="preserve">      年毕业于            学校        专业</w:t>
            </w:r>
          </w:p>
        </w:tc>
      </w:tr>
      <w:tr w14:paraId="02C5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9"/>
            <w:noWrap w:val="0"/>
            <w:vAlign w:val="center"/>
          </w:tcPr>
          <w:p w14:paraId="5AF9298A">
            <w:pPr>
              <w:spacing w:line="440" w:lineRule="exact"/>
              <w:rPr>
                <w:rFonts w:ascii="宋体" w:hAnsi="宋体"/>
                <w:szCs w:val="21"/>
              </w:rPr>
            </w:pPr>
            <w:r>
              <w:rPr>
                <w:rFonts w:ascii="宋体" w:hAnsi="宋体"/>
                <w:szCs w:val="21"/>
              </w:rPr>
              <w:t>主要工作经历</w:t>
            </w:r>
          </w:p>
        </w:tc>
      </w:tr>
      <w:tr w14:paraId="1A99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77958763">
            <w:pPr>
              <w:spacing w:line="440" w:lineRule="exact"/>
              <w:rPr>
                <w:rFonts w:ascii="宋体" w:hAnsi="宋体"/>
                <w:szCs w:val="21"/>
              </w:rPr>
            </w:pPr>
            <w:r>
              <w:rPr>
                <w:rFonts w:ascii="宋体" w:hAnsi="宋体"/>
                <w:szCs w:val="21"/>
              </w:rPr>
              <w:t>时  间</w:t>
            </w:r>
          </w:p>
        </w:tc>
        <w:tc>
          <w:tcPr>
            <w:tcW w:w="3420" w:type="dxa"/>
            <w:gridSpan w:val="4"/>
            <w:noWrap w:val="0"/>
            <w:vAlign w:val="center"/>
          </w:tcPr>
          <w:p w14:paraId="338357BC">
            <w:pPr>
              <w:spacing w:line="440" w:lineRule="exact"/>
              <w:rPr>
                <w:rFonts w:ascii="宋体" w:hAnsi="宋体"/>
                <w:szCs w:val="21"/>
              </w:rPr>
            </w:pPr>
            <w:r>
              <w:rPr>
                <w:rFonts w:ascii="宋体" w:hAnsi="宋体"/>
                <w:szCs w:val="21"/>
              </w:rPr>
              <w:t>参加过的类似项目</w:t>
            </w:r>
          </w:p>
        </w:tc>
        <w:tc>
          <w:tcPr>
            <w:tcW w:w="1261" w:type="dxa"/>
            <w:noWrap w:val="0"/>
            <w:vAlign w:val="center"/>
          </w:tcPr>
          <w:p w14:paraId="7C747C4E">
            <w:pPr>
              <w:spacing w:line="440" w:lineRule="exact"/>
              <w:rPr>
                <w:rFonts w:ascii="宋体" w:hAnsi="宋体"/>
                <w:szCs w:val="21"/>
              </w:rPr>
            </w:pPr>
            <w:r>
              <w:rPr>
                <w:rFonts w:ascii="宋体" w:hAnsi="宋体"/>
                <w:szCs w:val="21"/>
              </w:rPr>
              <w:t>担任职务</w:t>
            </w:r>
          </w:p>
        </w:tc>
        <w:tc>
          <w:tcPr>
            <w:tcW w:w="2296" w:type="dxa"/>
            <w:gridSpan w:val="2"/>
            <w:noWrap w:val="0"/>
            <w:vAlign w:val="center"/>
          </w:tcPr>
          <w:p w14:paraId="0DAF4A6F">
            <w:pPr>
              <w:spacing w:line="440" w:lineRule="exact"/>
              <w:rPr>
                <w:rFonts w:ascii="宋体" w:hAnsi="宋体"/>
                <w:szCs w:val="21"/>
              </w:rPr>
            </w:pPr>
            <w:r>
              <w:rPr>
                <w:rFonts w:hint="eastAsia" w:ascii="宋体" w:hAnsi="宋体"/>
                <w:szCs w:val="21"/>
                <w:lang w:eastAsia="zh-CN"/>
              </w:rPr>
              <w:t>采购人</w:t>
            </w:r>
            <w:r>
              <w:rPr>
                <w:rFonts w:ascii="宋体" w:hAnsi="宋体"/>
                <w:szCs w:val="21"/>
              </w:rPr>
              <w:t>及联系电话</w:t>
            </w:r>
          </w:p>
        </w:tc>
      </w:tr>
      <w:tr w14:paraId="015B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42CDC42">
            <w:pPr>
              <w:spacing w:line="440" w:lineRule="exact"/>
              <w:rPr>
                <w:rFonts w:eastAsia="黑体"/>
                <w:szCs w:val="21"/>
              </w:rPr>
            </w:pPr>
          </w:p>
        </w:tc>
        <w:tc>
          <w:tcPr>
            <w:tcW w:w="3420" w:type="dxa"/>
            <w:gridSpan w:val="4"/>
            <w:noWrap w:val="0"/>
            <w:vAlign w:val="top"/>
          </w:tcPr>
          <w:p w14:paraId="04FC976B">
            <w:pPr>
              <w:spacing w:line="440" w:lineRule="exact"/>
              <w:rPr>
                <w:rFonts w:eastAsia="黑体"/>
                <w:szCs w:val="21"/>
              </w:rPr>
            </w:pPr>
          </w:p>
        </w:tc>
        <w:tc>
          <w:tcPr>
            <w:tcW w:w="1261" w:type="dxa"/>
            <w:noWrap w:val="0"/>
            <w:vAlign w:val="top"/>
          </w:tcPr>
          <w:p w14:paraId="2F4F10C7">
            <w:pPr>
              <w:spacing w:line="440" w:lineRule="exact"/>
              <w:rPr>
                <w:rFonts w:eastAsia="黑体"/>
                <w:szCs w:val="21"/>
              </w:rPr>
            </w:pPr>
          </w:p>
        </w:tc>
        <w:tc>
          <w:tcPr>
            <w:tcW w:w="2296" w:type="dxa"/>
            <w:gridSpan w:val="2"/>
            <w:noWrap w:val="0"/>
            <w:vAlign w:val="top"/>
          </w:tcPr>
          <w:p w14:paraId="1D8D1292">
            <w:pPr>
              <w:spacing w:line="440" w:lineRule="exact"/>
              <w:rPr>
                <w:rFonts w:eastAsia="黑体"/>
                <w:szCs w:val="21"/>
              </w:rPr>
            </w:pPr>
          </w:p>
        </w:tc>
      </w:tr>
      <w:tr w14:paraId="4275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F5B561D">
            <w:pPr>
              <w:spacing w:line="440" w:lineRule="exact"/>
              <w:rPr>
                <w:rFonts w:eastAsia="黑体"/>
                <w:szCs w:val="21"/>
              </w:rPr>
            </w:pPr>
          </w:p>
        </w:tc>
        <w:tc>
          <w:tcPr>
            <w:tcW w:w="3420" w:type="dxa"/>
            <w:gridSpan w:val="4"/>
            <w:noWrap w:val="0"/>
            <w:vAlign w:val="top"/>
          </w:tcPr>
          <w:p w14:paraId="4B6C2132">
            <w:pPr>
              <w:spacing w:line="440" w:lineRule="exact"/>
              <w:rPr>
                <w:rFonts w:eastAsia="黑体"/>
                <w:szCs w:val="21"/>
              </w:rPr>
            </w:pPr>
          </w:p>
        </w:tc>
        <w:tc>
          <w:tcPr>
            <w:tcW w:w="1261" w:type="dxa"/>
            <w:noWrap w:val="0"/>
            <w:vAlign w:val="top"/>
          </w:tcPr>
          <w:p w14:paraId="0B3875E2">
            <w:pPr>
              <w:spacing w:line="440" w:lineRule="exact"/>
              <w:rPr>
                <w:rFonts w:eastAsia="黑体"/>
                <w:szCs w:val="21"/>
              </w:rPr>
            </w:pPr>
          </w:p>
        </w:tc>
        <w:tc>
          <w:tcPr>
            <w:tcW w:w="2296" w:type="dxa"/>
            <w:gridSpan w:val="2"/>
            <w:noWrap w:val="0"/>
            <w:vAlign w:val="top"/>
          </w:tcPr>
          <w:p w14:paraId="251FC4EA">
            <w:pPr>
              <w:spacing w:line="440" w:lineRule="exact"/>
              <w:rPr>
                <w:rFonts w:eastAsia="黑体"/>
                <w:szCs w:val="21"/>
              </w:rPr>
            </w:pPr>
          </w:p>
        </w:tc>
      </w:tr>
      <w:tr w14:paraId="2EC5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B518510">
            <w:pPr>
              <w:spacing w:line="440" w:lineRule="exact"/>
              <w:rPr>
                <w:rFonts w:eastAsia="黑体"/>
                <w:szCs w:val="21"/>
              </w:rPr>
            </w:pPr>
          </w:p>
        </w:tc>
        <w:tc>
          <w:tcPr>
            <w:tcW w:w="3420" w:type="dxa"/>
            <w:gridSpan w:val="4"/>
            <w:noWrap w:val="0"/>
            <w:vAlign w:val="top"/>
          </w:tcPr>
          <w:p w14:paraId="7961B908">
            <w:pPr>
              <w:spacing w:line="440" w:lineRule="exact"/>
              <w:rPr>
                <w:rFonts w:eastAsia="黑体"/>
                <w:szCs w:val="21"/>
              </w:rPr>
            </w:pPr>
          </w:p>
        </w:tc>
        <w:tc>
          <w:tcPr>
            <w:tcW w:w="1261" w:type="dxa"/>
            <w:noWrap w:val="0"/>
            <w:vAlign w:val="top"/>
          </w:tcPr>
          <w:p w14:paraId="251A18DF">
            <w:pPr>
              <w:spacing w:line="440" w:lineRule="exact"/>
              <w:rPr>
                <w:rFonts w:eastAsia="黑体"/>
                <w:szCs w:val="21"/>
              </w:rPr>
            </w:pPr>
          </w:p>
        </w:tc>
        <w:tc>
          <w:tcPr>
            <w:tcW w:w="2296" w:type="dxa"/>
            <w:gridSpan w:val="2"/>
            <w:noWrap w:val="0"/>
            <w:vAlign w:val="top"/>
          </w:tcPr>
          <w:p w14:paraId="5AABAF49">
            <w:pPr>
              <w:spacing w:line="440" w:lineRule="exact"/>
              <w:rPr>
                <w:rFonts w:eastAsia="黑体"/>
                <w:szCs w:val="21"/>
              </w:rPr>
            </w:pPr>
          </w:p>
        </w:tc>
      </w:tr>
      <w:tr w14:paraId="0842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7898AEE">
            <w:pPr>
              <w:spacing w:line="440" w:lineRule="exact"/>
              <w:rPr>
                <w:rFonts w:eastAsia="黑体"/>
                <w:szCs w:val="21"/>
              </w:rPr>
            </w:pPr>
          </w:p>
        </w:tc>
        <w:tc>
          <w:tcPr>
            <w:tcW w:w="3420" w:type="dxa"/>
            <w:gridSpan w:val="4"/>
            <w:noWrap w:val="0"/>
            <w:vAlign w:val="top"/>
          </w:tcPr>
          <w:p w14:paraId="035E1759">
            <w:pPr>
              <w:spacing w:line="440" w:lineRule="exact"/>
              <w:rPr>
                <w:rFonts w:eastAsia="黑体"/>
                <w:szCs w:val="21"/>
              </w:rPr>
            </w:pPr>
          </w:p>
        </w:tc>
        <w:tc>
          <w:tcPr>
            <w:tcW w:w="1261" w:type="dxa"/>
            <w:noWrap w:val="0"/>
            <w:vAlign w:val="top"/>
          </w:tcPr>
          <w:p w14:paraId="5DE7479C">
            <w:pPr>
              <w:spacing w:line="440" w:lineRule="exact"/>
              <w:rPr>
                <w:rFonts w:eastAsia="黑体"/>
                <w:szCs w:val="21"/>
              </w:rPr>
            </w:pPr>
          </w:p>
        </w:tc>
        <w:tc>
          <w:tcPr>
            <w:tcW w:w="2296" w:type="dxa"/>
            <w:gridSpan w:val="2"/>
            <w:noWrap w:val="0"/>
            <w:vAlign w:val="top"/>
          </w:tcPr>
          <w:p w14:paraId="264D02D1">
            <w:pPr>
              <w:spacing w:line="440" w:lineRule="exact"/>
              <w:rPr>
                <w:rFonts w:eastAsia="黑体"/>
                <w:szCs w:val="21"/>
              </w:rPr>
            </w:pPr>
          </w:p>
        </w:tc>
      </w:tr>
      <w:tr w14:paraId="3561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9EE2152">
            <w:pPr>
              <w:spacing w:line="440" w:lineRule="exact"/>
              <w:rPr>
                <w:rFonts w:eastAsia="黑体"/>
                <w:szCs w:val="21"/>
              </w:rPr>
            </w:pPr>
          </w:p>
        </w:tc>
        <w:tc>
          <w:tcPr>
            <w:tcW w:w="3420" w:type="dxa"/>
            <w:gridSpan w:val="4"/>
            <w:noWrap w:val="0"/>
            <w:vAlign w:val="top"/>
          </w:tcPr>
          <w:p w14:paraId="2F8A7D91">
            <w:pPr>
              <w:spacing w:line="440" w:lineRule="exact"/>
              <w:rPr>
                <w:rFonts w:eastAsia="黑体"/>
                <w:szCs w:val="21"/>
              </w:rPr>
            </w:pPr>
          </w:p>
        </w:tc>
        <w:tc>
          <w:tcPr>
            <w:tcW w:w="1261" w:type="dxa"/>
            <w:noWrap w:val="0"/>
            <w:vAlign w:val="top"/>
          </w:tcPr>
          <w:p w14:paraId="2375B544">
            <w:pPr>
              <w:spacing w:line="440" w:lineRule="exact"/>
              <w:rPr>
                <w:rFonts w:eastAsia="黑体"/>
                <w:szCs w:val="21"/>
              </w:rPr>
            </w:pPr>
          </w:p>
        </w:tc>
        <w:tc>
          <w:tcPr>
            <w:tcW w:w="2296" w:type="dxa"/>
            <w:gridSpan w:val="2"/>
            <w:noWrap w:val="0"/>
            <w:vAlign w:val="top"/>
          </w:tcPr>
          <w:p w14:paraId="28FCC5A7">
            <w:pPr>
              <w:spacing w:line="440" w:lineRule="exact"/>
              <w:rPr>
                <w:rFonts w:eastAsia="黑体"/>
                <w:szCs w:val="21"/>
              </w:rPr>
            </w:pPr>
          </w:p>
        </w:tc>
      </w:tr>
      <w:tr w14:paraId="3304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5FD9BA0">
            <w:pPr>
              <w:spacing w:line="440" w:lineRule="exact"/>
              <w:rPr>
                <w:rFonts w:eastAsia="黑体"/>
                <w:szCs w:val="21"/>
              </w:rPr>
            </w:pPr>
          </w:p>
        </w:tc>
        <w:tc>
          <w:tcPr>
            <w:tcW w:w="3420" w:type="dxa"/>
            <w:gridSpan w:val="4"/>
            <w:noWrap w:val="0"/>
            <w:vAlign w:val="top"/>
          </w:tcPr>
          <w:p w14:paraId="24694B8F">
            <w:pPr>
              <w:spacing w:line="440" w:lineRule="exact"/>
              <w:rPr>
                <w:rFonts w:eastAsia="黑体"/>
                <w:szCs w:val="21"/>
              </w:rPr>
            </w:pPr>
          </w:p>
        </w:tc>
        <w:tc>
          <w:tcPr>
            <w:tcW w:w="1261" w:type="dxa"/>
            <w:noWrap w:val="0"/>
            <w:vAlign w:val="top"/>
          </w:tcPr>
          <w:p w14:paraId="377C436C">
            <w:pPr>
              <w:spacing w:line="440" w:lineRule="exact"/>
              <w:rPr>
                <w:rFonts w:eastAsia="黑体"/>
                <w:szCs w:val="21"/>
              </w:rPr>
            </w:pPr>
          </w:p>
        </w:tc>
        <w:tc>
          <w:tcPr>
            <w:tcW w:w="2296" w:type="dxa"/>
            <w:gridSpan w:val="2"/>
            <w:noWrap w:val="0"/>
            <w:vAlign w:val="top"/>
          </w:tcPr>
          <w:p w14:paraId="624C0B0F">
            <w:pPr>
              <w:spacing w:line="440" w:lineRule="exact"/>
              <w:rPr>
                <w:rFonts w:eastAsia="黑体"/>
                <w:szCs w:val="21"/>
              </w:rPr>
            </w:pPr>
          </w:p>
        </w:tc>
      </w:tr>
      <w:tr w14:paraId="767C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B3224E4">
            <w:pPr>
              <w:spacing w:line="440" w:lineRule="exact"/>
              <w:rPr>
                <w:rFonts w:eastAsia="黑体"/>
                <w:szCs w:val="21"/>
              </w:rPr>
            </w:pPr>
          </w:p>
        </w:tc>
        <w:tc>
          <w:tcPr>
            <w:tcW w:w="3420" w:type="dxa"/>
            <w:gridSpan w:val="4"/>
            <w:noWrap w:val="0"/>
            <w:vAlign w:val="top"/>
          </w:tcPr>
          <w:p w14:paraId="660F94F1">
            <w:pPr>
              <w:spacing w:line="440" w:lineRule="exact"/>
              <w:rPr>
                <w:rFonts w:eastAsia="黑体"/>
                <w:szCs w:val="21"/>
              </w:rPr>
            </w:pPr>
          </w:p>
        </w:tc>
        <w:tc>
          <w:tcPr>
            <w:tcW w:w="1261" w:type="dxa"/>
            <w:noWrap w:val="0"/>
            <w:vAlign w:val="top"/>
          </w:tcPr>
          <w:p w14:paraId="041E3575">
            <w:pPr>
              <w:spacing w:line="440" w:lineRule="exact"/>
              <w:rPr>
                <w:rFonts w:eastAsia="黑体"/>
                <w:szCs w:val="21"/>
              </w:rPr>
            </w:pPr>
          </w:p>
        </w:tc>
        <w:tc>
          <w:tcPr>
            <w:tcW w:w="2296" w:type="dxa"/>
            <w:gridSpan w:val="2"/>
            <w:noWrap w:val="0"/>
            <w:vAlign w:val="top"/>
          </w:tcPr>
          <w:p w14:paraId="22A97CFD">
            <w:pPr>
              <w:spacing w:line="440" w:lineRule="exact"/>
              <w:rPr>
                <w:rFonts w:eastAsia="黑体"/>
                <w:szCs w:val="21"/>
              </w:rPr>
            </w:pPr>
          </w:p>
        </w:tc>
      </w:tr>
      <w:tr w14:paraId="483E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01E8680">
            <w:pPr>
              <w:spacing w:line="440" w:lineRule="exact"/>
              <w:rPr>
                <w:rFonts w:eastAsia="黑体"/>
                <w:szCs w:val="21"/>
              </w:rPr>
            </w:pPr>
          </w:p>
        </w:tc>
        <w:tc>
          <w:tcPr>
            <w:tcW w:w="3420" w:type="dxa"/>
            <w:gridSpan w:val="4"/>
            <w:noWrap w:val="0"/>
            <w:vAlign w:val="top"/>
          </w:tcPr>
          <w:p w14:paraId="71573D80">
            <w:pPr>
              <w:spacing w:line="440" w:lineRule="exact"/>
              <w:rPr>
                <w:rFonts w:eastAsia="黑体"/>
                <w:szCs w:val="21"/>
              </w:rPr>
            </w:pPr>
          </w:p>
        </w:tc>
        <w:tc>
          <w:tcPr>
            <w:tcW w:w="1261" w:type="dxa"/>
            <w:noWrap w:val="0"/>
            <w:vAlign w:val="top"/>
          </w:tcPr>
          <w:p w14:paraId="29F760A4">
            <w:pPr>
              <w:spacing w:line="440" w:lineRule="exact"/>
              <w:rPr>
                <w:rFonts w:eastAsia="黑体"/>
                <w:szCs w:val="21"/>
              </w:rPr>
            </w:pPr>
          </w:p>
        </w:tc>
        <w:tc>
          <w:tcPr>
            <w:tcW w:w="2296" w:type="dxa"/>
            <w:gridSpan w:val="2"/>
            <w:noWrap w:val="0"/>
            <w:vAlign w:val="top"/>
          </w:tcPr>
          <w:p w14:paraId="1751449B">
            <w:pPr>
              <w:spacing w:line="440" w:lineRule="exact"/>
              <w:rPr>
                <w:rFonts w:eastAsia="黑体"/>
                <w:szCs w:val="21"/>
              </w:rPr>
            </w:pPr>
          </w:p>
        </w:tc>
      </w:tr>
      <w:tr w14:paraId="4DCB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7F9666B9">
            <w:pPr>
              <w:spacing w:line="440" w:lineRule="exact"/>
              <w:rPr>
                <w:rFonts w:eastAsia="黑体"/>
                <w:szCs w:val="21"/>
              </w:rPr>
            </w:pPr>
          </w:p>
        </w:tc>
        <w:tc>
          <w:tcPr>
            <w:tcW w:w="3420" w:type="dxa"/>
            <w:gridSpan w:val="4"/>
            <w:noWrap w:val="0"/>
            <w:vAlign w:val="top"/>
          </w:tcPr>
          <w:p w14:paraId="62272BE5">
            <w:pPr>
              <w:spacing w:line="440" w:lineRule="exact"/>
              <w:rPr>
                <w:rFonts w:eastAsia="黑体"/>
                <w:szCs w:val="21"/>
              </w:rPr>
            </w:pPr>
          </w:p>
        </w:tc>
        <w:tc>
          <w:tcPr>
            <w:tcW w:w="1261" w:type="dxa"/>
            <w:noWrap w:val="0"/>
            <w:vAlign w:val="top"/>
          </w:tcPr>
          <w:p w14:paraId="49683253">
            <w:pPr>
              <w:spacing w:line="440" w:lineRule="exact"/>
              <w:rPr>
                <w:rFonts w:eastAsia="黑体"/>
                <w:szCs w:val="21"/>
              </w:rPr>
            </w:pPr>
          </w:p>
        </w:tc>
        <w:tc>
          <w:tcPr>
            <w:tcW w:w="2296" w:type="dxa"/>
            <w:gridSpan w:val="2"/>
            <w:noWrap w:val="0"/>
            <w:vAlign w:val="top"/>
          </w:tcPr>
          <w:p w14:paraId="0A137F02">
            <w:pPr>
              <w:spacing w:line="440" w:lineRule="exact"/>
              <w:rPr>
                <w:rFonts w:eastAsia="黑体"/>
                <w:szCs w:val="21"/>
              </w:rPr>
            </w:pPr>
          </w:p>
        </w:tc>
      </w:tr>
      <w:tr w14:paraId="6FB2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E5407B5">
            <w:pPr>
              <w:spacing w:line="440" w:lineRule="exact"/>
              <w:rPr>
                <w:rFonts w:eastAsia="黑体"/>
                <w:szCs w:val="21"/>
              </w:rPr>
            </w:pPr>
          </w:p>
        </w:tc>
        <w:tc>
          <w:tcPr>
            <w:tcW w:w="3420" w:type="dxa"/>
            <w:gridSpan w:val="4"/>
            <w:noWrap w:val="0"/>
            <w:vAlign w:val="top"/>
          </w:tcPr>
          <w:p w14:paraId="0C92D8EB">
            <w:pPr>
              <w:spacing w:line="440" w:lineRule="exact"/>
              <w:rPr>
                <w:rFonts w:eastAsia="黑体"/>
                <w:szCs w:val="21"/>
              </w:rPr>
            </w:pPr>
          </w:p>
        </w:tc>
        <w:tc>
          <w:tcPr>
            <w:tcW w:w="1261" w:type="dxa"/>
            <w:noWrap w:val="0"/>
            <w:vAlign w:val="top"/>
          </w:tcPr>
          <w:p w14:paraId="212C683A">
            <w:pPr>
              <w:spacing w:line="440" w:lineRule="exact"/>
              <w:rPr>
                <w:rFonts w:eastAsia="黑体"/>
                <w:szCs w:val="21"/>
              </w:rPr>
            </w:pPr>
          </w:p>
        </w:tc>
        <w:tc>
          <w:tcPr>
            <w:tcW w:w="2296" w:type="dxa"/>
            <w:gridSpan w:val="2"/>
            <w:noWrap w:val="0"/>
            <w:vAlign w:val="top"/>
          </w:tcPr>
          <w:p w14:paraId="787D2B5F">
            <w:pPr>
              <w:spacing w:line="440" w:lineRule="exact"/>
              <w:rPr>
                <w:rFonts w:eastAsia="黑体"/>
                <w:szCs w:val="21"/>
              </w:rPr>
            </w:pPr>
          </w:p>
        </w:tc>
      </w:tr>
      <w:tr w14:paraId="2238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4F70261">
            <w:pPr>
              <w:spacing w:line="440" w:lineRule="exact"/>
              <w:rPr>
                <w:rFonts w:eastAsia="黑体"/>
                <w:szCs w:val="21"/>
              </w:rPr>
            </w:pPr>
          </w:p>
        </w:tc>
        <w:tc>
          <w:tcPr>
            <w:tcW w:w="3420" w:type="dxa"/>
            <w:gridSpan w:val="4"/>
            <w:noWrap w:val="0"/>
            <w:vAlign w:val="top"/>
          </w:tcPr>
          <w:p w14:paraId="376A7D2C">
            <w:pPr>
              <w:spacing w:line="440" w:lineRule="exact"/>
              <w:rPr>
                <w:rFonts w:eastAsia="黑体"/>
                <w:szCs w:val="21"/>
              </w:rPr>
            </w:pPr>
          </w:p>
        </w:tc>
        <w:tc>
          <w:tcPr>
            <w:tcW w:w="1261" w:type="dxa"/>
            <w:noWrap w:val="0"/>
            <w:vAlign w:val="top"/>
          </w:tcPr>
          <w:p w14:paraId="3DA4512C">
            <w:pPr>
              <w:spacing w:line="440" w:lineRule="exact"/>
              <w:rPr>
                <w:rFonts w:eastAsia="黑体"/>
                <w:szCs w:val="21"/>
              </w:rPr>
            </w:pPr>
          </w:p>
        </w:tc>
        <w:tc>
          <w:tcPr>
            <w:tcW w:w="2296" w:type="dxa"/>
            <w:gridSpan w:val="2"/>
            <w:noWrap w:val="0"/>
            <w:vAlign w:val="top"/>
          </w:tcPr>
          <w:p w14:paraId="1940259C">
            <w:pPr>
              <w:spacing w:line="440" w:lineRule="exact"/>
              <w:rPr>
                <w:rFonts w:eastAsia="黑体"/>
                <w:szCs w:val="21"/>
              </w:rPr>
            </w:pPr>
          </w:p>
        </w:tc>
      </w:tr>
      <w:tr w14:paraId="07DE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EFACEB5">
            <w:pPr>
              <w:spacing w:line="440" w:lineRule="exact"/>
              <w:rPr>
                <w:rFonts w:eastAsia="黑体"/>
                <w:szCs w:val="21"/>
              </w:rPr>
            </w:pPr>
          </w:p>
        </w:tc>
        <w:tc>
          <w:tcPr>
            <w:tcW w:w="3420" w:type="dxa"/>
            <w:gridSpan w:val="4"/>
            <w:noWrap w:val="0"/>
            <w:vAlign w:val="top"/>
          </w:tcPr>
          <w:p w14:paraId="12719028">
            <w:pPr>
              <w:spacing w:line="440" w:lineRule="exact"/>
              <w:rPr>
                <w:rFonts w:eastAsia="黑体"/>
                <w:szCs w:val="21"/>
              </w:rPr>
            </w:pPr>
          </w:p>
        </w:tc>
        <w:tc>
          <w:tcPr>
            <w:tcW w:w="1261" w:type="dxa"/>
            <w:noWrap w:val="0"/>
            <w:vAlign w:val="top"/>
          </w:tcPr>
          <w:p w14:paraId="224BC047">
            <w:pPr>
              <w:spacing w:line="440" w:lineRule="exact"/>
              <w:rPr>
                <w:rFonts w:eastAsia="黑体"/>
                <w:szCs w:val="21"/>
              </w:rPr>
            </w:pPr>
          </w:p>
        </w:tc>
        <w:tc>
          <w:tcPr>
            <w:tcW w:w="2296" w:type="dxa"/>
            <w:gridSpan w:val="2"/>
            <w:noWrap w:val="0"/>
            <w:vAlign w:val="top"/>
          </w:tcPr>
          <w:p w14:paraId="64020E42">
            <w:pPr>
              <w:spacing w:line="440" w:lineRule="exact"/>
              <w:rPr>
                <w:rFonts w:eastAsia="黑体"/>
                <w:szCs w:val="21"/>
              </w:rPr>
            </w:pPr>
          </w:p>
        </w:tc>
      </w:tr>
    </w:tbl>
    <w:p w14:paraId="74C823FA">
      <w:pPr>
        <w:rPr>
          <w:rFonts w:hint="default" w:ascii="Times New Roman" w:hAnsi="Times New Roman" w:cs="Times New Roman"/>
        </w:rPr>
      </w:pPr>
      <w:r>
        <w:rPr>
          <w:rFonts w:hint="default" w:ascii="Times New Roman" w:hAnsi="Times New Roman" w:cs="Times New Roman"/>
        </w:rPr>
        <w:br w:type="page"/>
      </w:r>
    </w:p>
    <w:p w14:paraId="57173CB2">
      <w:pPr>
        <w:pStyle w:val="4"/>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四</w:t>
      </w:r>
      <w:r>
        <w:rPr>
          <w:rFonts w:hint="default" w:ascii="Times New Roman" w:hAnsi="Times New Roman" w:cs="Times New Roman"/>
        </w:rPr>
        <w:t>）近年完成的类似项目情况表</w:t>
      </w:r>
      <w:bookmarkEnd w:id="300"/>
      <w:bookmarkEnd w:id="301"/>
      <w:bookmarkEnd w:id="302"/>
      <w:bookmarkEnd w:id="303"/>
      <w:bookmarkEnd w:id="304"/>
      <w:bookmarkEnd w:id="305"/>
    </w:p>
    <w:p w14:paraId="76AECB73">
      <w:pPr>
        <w:spacing w:line="440" w:lineRule="exact"/>
        <w:jc w:val="center"/>
        <w:rPr>
          <w:rFonts w:hint="default" w:ascii="Times New Roman" w:hAnsi="Times New Roman" w:eastAsia="黑体" w:cs="Times New Roman"/>
          <w:sz w:val="23"/>
          <w:szCs w:val="23"/>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264B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0573908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253" w:type="dxa"/>
            <w:noWrap w:val="0"/>
            <w:vAlign w:val="top"/>
          </w:tcPr>
          <w:p w14:paraId="2C558C0D">
            <w:pPr>
              <w:topLinePunct/>
              <w:spacing w:line="440" w:lineRule="exact"/>
              <w:rPr>
                <w:rFonts w:hint="default" w:ascii="Times New Roman" w:hAnsi="Times New Roman" w:cs="Times New Roman"/>
                <w:szCs w:val="21"/>
                <w:highlight w:val="black"/>
              </w:rPr>
            </w:pPr>
          </w:p>
        </w:tc>
      </w:tr>
      <w:tr w14:paraId="4094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C935D2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项目所在地</w:t>
            </w:r>
          </w:p>
        </w:tc>
        <w:tc>
          <w:tcPr>
            <w:tcW w:w="6253" w:type="dxa"/>
            <w:noWrap w:val="0"/>
            <w:vAlign w:val="top"/>
          </w:tcPr>
          <w:p w14:paraId="67F1F4DF">
            <w:pPr>
              <w:topLinePunct/>
              <w:spacing w:line="440" w:lineRule="exact"/>
              <w:rPr>
                <w:rFonts w:hint="default" w:ascii="Times New Roman" w:hAnsi="Times New Roman" w:cs="Times New Roman"/>
                <w:szCs w:val="21"/>
              </w:rPr>
            </w:pPr>
          </w:p>
        </w:tc>
      </w:tr>
      <w:tr w14:paraId="65F8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8EFD948">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人名称</w:t>
            </w:r>
          </w:p>
        </w:tc>
        <w:tc>
          <w:tcPr>
            <w:tcW w:w="6253" w:type="dxa"/>
            <w:noWrap w:val="0"/>
            <w:vAlign w:val="top"/>
          </w:tcPr>
          <w:p w14:paraId="51171F67">
            <w:pPr>
              <w:topLinePunct/>
              <w:spacing w:line="440" w:lineRule="exact"/>
              <w:rPr>
                <w:rFonts w:hint="default" w:ascii="Times New Roman" w:hAnsi="Times New Roman" w:cs="Times New Roman"/>
                <w:szCs w:val="21"/>
              </w:rPr>
            </w:pPr>
          </w:p>
        </w:tc>
      </w:tr>
      <w:tr w14:paraId="6E5E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726C14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人地址</w:t>
            </w:r>
          </w:p>
        </w:tc>
        <w:tc>
          <w:tcPr>
            <w:tcW w:w="6253" w:type="dxa"/>
            <w:noWrap w:val="0"/>
            <w:vAlign w:val="top"/>
          </w:tcPr>
          <w:p w14:paraId="482A93DC">
            <w:pPr>
              <w:topLinePunct/>
              <w:spacing w:line="440" w:lineRule="exact"/>
              <w:rPr>
                <w:rFonts w:hint="default" w:ascii="Times New Roman" w:hAnsi="Times New Roman" w:cs="Times New Roman"/>
                <w:szCs w:val="21"/>
              </w:rPr>
            </w:pPr>
          </w:p>
        </w:tc>
      </w:tr>
      <w:tr w14:paraId="6375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4AFB62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eastAsia="zh-CN"/>
              </w:rPr>
              <w:t>采购人</w:t>
            </w:r>
            <w:r>
              <w:rPr>
                <w:rFonts w:hint="default" w:ascii="Times New Roman" w:hAnsi="Times New Roman" w:cs="Times New Roman"/>
                <w:szCs w:val="21"/>
              </w:rPr>
              <w:t>电话</w:t>
            </w:r>
          </w:p>
        </w:tc>
        <w:tc>
          <w:tcPr>
            <w:tcW w:w="6253" w:type="dxa"/>
            <w:noWrap w:val="0"/>
            <w:vAlign w:val="top"/>
          </w:tcPr>
          <w:p w14:paraId="64BDB419">
            <w:pPr>
              <w:topLinePunct/>
              <w:spacing w:line="440" w:lineRule="exact"/>
              <w:rPr>
                <w:rFonts w:hint="default" w:ascii="Times New Roman" w:hAnsi="Times New Roman" w:cs="Times New Roman"/>
                <w:szCs w:val="21"/>
              </w:rPr>
            </w:pPr>
          </w:p>
        </w:tc>
      </w:tr>
      <w:tr w14:paraId="68C6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7DAF50F">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253" w:type="dxa"/>
            <w:noWrap w:val="0"/>
            <w:vAlign w:val="top"/>
          </w:tcPr>
          <w:p w14:paraId="1F712DBB">
            <w:pPr>
              <w:topLinePunct/>
              <w:spacing w:line="440" w:lineRule="exact"/>
              <w:rPr>
                <w:rFonts w:hint="default" w:ascii="Times New Roman" w:hAnsi="Times New Roman" w:cs="Times New Roman"/>
                <w:szCs w:val="21"/>
              </w:rPr>
            </w:pPr>
          </w:p>
        </w:tc>
      </w:tr>
      <w:tr w14:paraId="1609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trPr>
        <w:tc>
          <w:tcPr>
            <w:tcW w:w="2269" w:type="dxa"/>
            <w:noWrap w:val="0"/>
            <w:vAlign w:val="center"/>
          </w:tcPr>
          <w:p w14:paraId="675EA85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253" w:type="dxa"/>
            <w:noWrap w:val="0"/>
            <w:vAlign w:val="top"/>
          </w:tcPr>
          <w:p w14:paraId="33834942">
            <w:pPr>
              <w:topLinePunct/>
              <w:spacing w:line="440" w:lineRule="exact"/>
              <w:rPr>
                <w:rFonts w:hint="default" w:ascii="Times New Roman" w:hAnsi="Times New Roman" w:cs="Times New Roman"/>
                <w:szCs w:val="21"/>
              </w:rPr>
            </w:pPr>
          </w:p>
          <w:p w14:paraId="7A030E20">
            <w:pPr>
              <w:topLinePunct/>
              <w:spacing w:line="440" w:lineRule="exact"/>
              <w:rPr>
                <w:rFonts w:hint="default" w:ascii="Times New Roman" w:hAnsi="Times New Roman" w:cs="Times New Roman"/>
                <w:szCs w:val="21"/>
              </w:rPr>
            </w:pPr>
          </w:p>
          <w:p w14:paraId="31F22641">
            <w:pPr>
              <w:topLinePunct/>
              <w:spacing w:line="440" w:lineRule="exact"/>
              <w:rPr>
                <w:rFonts w:hint="default" w:ascii="Times New Roman" w:hAnsi="Times New Roman" w:cs="Times New Roman"/>
                <w:szCs w:val="21"/>
              </w:rPr>
            </w:pPr>
          </w:p>
          <w:p w14:paraId="4DA1290E">
            <w:pPr>
              <w:topLinePunct/>
              <w:spacing w:line="440" w:lineRule="exact"/>
              <w:rPr>
                <w:rFonts w:hint="default" w:ascii="Times New Roman" w:hAnsi="Times New Roman" w:cs="Times New Roman"/>
                <w:szCs w:val="21"/>
              </w:rPr>
            </w:pPr>
          </w:p>
          <w:p w14:paraId="43A2FEBD">
            <w:pPr>
              <w:topLinePunct/>
              <w:spacing w:line="440" w:lineRule="exact"/>
              <w:rPr>
                <w:rFonts w:hint="default" w:ascii="Times New Roman" w:hAnsi="Times New Roman" w:cs="Times New Roman"/>
                <w:szCs w:val="21"/>
              </w:rPr>
            </w:pPr>
          </w:p>
          <w:p w14:paraId="088615A3">
            <w:pPr>
              <w:topLinePunct/>
              <w:spacing w:line="440" w:lineRule="exact"/>
              <w:rPr>
                <w:rFonts w:hint="default" w:ascii="Times New Roman" w:hAnsi="Times New Roman" w:cs="Times New Roman"/>
                <w:szCs w:val="21"/>
              </w:rPr>
            </w:pPr>
          </w:p>
          <w:p w14:paraId="5F3F6FB4">
            <w:pPr>
              <w:topLinePunct/>
              <w:spacing w:line="440" w:lineRule="exact"/>
              <w:rPr>
                <w:rFonts w:hint="default" w:ascii="Times New Roman" w:hAnsi="Times New Roman" w:cs="Times New Roman"/>
                <w:szCs w:val="21"/>
              </w:rPr>
            </w:pPr>
          </w:p>
        </w:tc>
      </w:tr>
      <w:tr w14:paraId="5748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269" w:type="dxa"/>
            <w:noWrap w:val="0"/>
            <w:vAlign w:val="center"/>
          </w:tcPr>
          <w:p w14:paraId="6F087F9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6253" w:type="dxa"/>
            <w:noWrap w:val="0"/>
            <w:vAlign w:val="top"/>
          </w:tcPr>
          <w:p w14:paraId="2B378B1C">
            <w:pPr>
              <w:topLinePunct/>
              <w:spacing w:line="440" w:lineRule="exact"/>
              <w:rPr>
                <w:rFonts w:hint="default" w:ascii="Times New Roman" w:hAnsi="Times New Roman" w:cs="Times New Roman"/>
                <w:szCs w:val="21"/>
              </w:rPr>
            </w:pPr>
          </w:p>
        </w:tc>
      </w:tr>
    </w:tbl>
    <w:p w14:paraId="1E59206E">
      <w:pPr>
        <w:spacing w:line="440" w:lineRule="exact"/>
        <w:rPr>
          <w:rFonts w:hint="default" w:ascii="Times New Roman" w:hAnsi="Times New Roman" w:cs="Times New Roman"/>
        </w:rPr>
      </w:pPr>
      <w:bookmarkStart w:id="310" w:name="_Toc247514303"/>
      <w:bookmarkStart w:id="311" w:name="_Toc152042600"/>
      <w:bookmarkStart w:id="312" w:name="_Toc144974879"/>
      <w:bookmarkStart w:id="313" w:name="_Toc152045811"/>
      <w:bookmarkStart w:id="314" w:name="_Toc247527851"/>
    </w:p>
    <w:p w14:paraId="7C055E10">
      <w:pPr>
        <w:spacing w:line="440" w:lineRule="exact"/>
        <w:rPr>
          <w:rFonts w:hint="default" w:ascii="Times New Roman" w:hAnsi="Times New Roman" w:cs="Times New Roman"/>
        </w:rPr>
      </w:pPr>
    </w:p>
    <w:bookmarkEnd w:id="310"/>
    <w:bookmarkEnd w:id="311"/>
    <w:bookmarkEnd w:id="312"/>
    <w:bookmarkEnd w:id="313"/>
    <w:bookmarkEnd w:id="314"/>
    <w:p w14:paraId="337CCC8B">
      <w:pPr>
        <w:pStyle w:val="4"/>
        <w:rPr>
          <w:rFonts w:hint="default" w:ascii="Times New Roman" w:hAnsi="Times New Roman" w:cs="Times New Roman" w:eastAsiaTheme="minorEastAsia"/>
          <w:lang w:val="en-US" w:eastAsia="zh-CN"/>
        </w:rPr>
      </w:pPr>
      <w:r>
        <w:rPr>
          <w:rFonts w:hint="default" w:ascii="Times New Roman" w:hAnsi="Times New Roman" w:cs="Times New Roman"/>
        </w:rPr>
        <w:t>（</w:t>
      </w:r>
      <w:r>
        <w:rPr>
          <w:rFonts w:hint="eastAsia" w:ascii="Times New Roman" w:hAnsi="Times New Roman" w:cs="Times New Roman"/>
          <w:lang w:val="en-US" w:eastAsia="zh-CN"/>
        </w:rPr>
        <w:t>五</w:t>
      </w:r>
      <w:r>
        <w:rPr>
          <w:rFonts w:hint="default" w:ascii="Times New Roman" w:hAnsi="Times New Roman" w:cs="Times New Roman"/>
        </w:rPr>
        <w:t>）</w:t>
      </w:r>
      <w:r>
        <w:rPr>
          <w:rFonts w:hint="eastAsia" w:ascii="Times New Roman" w:hAnsi="Times New Roman" w:cs="Times New Roman"/>
          <w:lang w:val="en-US" w:eastAsia="zh-CN"/>
        </w:rPr>
        <w:t>其他资格审查资料</w:t>
      </w:r>
    </w:p>
    <w:p w14:paraId="7A16B69B">
      <w:pPr>
        <w:tabs>
          <w:tab w:val="left" w:pos="720"/>
        </w:tabs>
        <w:spacing w:line="440" w:lineRule="exact"/>
        <w:jc w:val="left"/>
        <w:rPr>
          <w:rFonts w:hint="eastAsia" w:ascii="Times New Roman" w:hAnsi="Times New Roman"/>
          <w:b/>
          <w:bCs/>
          <w:color w:val="FF0000"/>
          <w:lang w:val="en-US" w:eastAsia="zh-CN"/>
        </w:rPr>
      </w:pPr>
      <w:r>
        <w:rPr>
          <w:rFonts w:hint="eastAsia" w:ascii="Times New Roman" w:hAnsi="Times New Roman"/>
          <w:b/>
          <w:bCs/>
          <w:color w:val="FF0000"/>
          <w:lang w:val="en-US" w:eastAsia="zh-CN"/>
        </w:rPr>
        <w:t>注：1、提供供应商的营业执照的复印件或扫描件，加盖供应商单位公章；</w:t>
      </w:r>
    </w:p>
    <w:p w14:paraId="5D8127FC">
      <w:pPr>
        <w:numPr>
          <w:ilvl w:val="0"/>
          <w:numId w:val="0"/>
        </w:numPr>
        <w:tabs>
          <w:tab w:val="left" w:pos="720"/>
        </w:tabs>
        <w:spacing w:line="440" w:lineRule="exact"/>
        <w:ind w:firstLine="422" w:firstLineChars="200"/>
        <w:jc w:val="left"/>
        <w:rPr>
          <w:rFonts w:hint="eastAsia" w:ascii="Times New Roman" w:hAnsi="Times New Roman"/>
          <w:b/>
          <w:bCs/>
          <w:color w:val="FF0000"/>
          <w:lang w:val="en-US" w:eastAsia="zh-CN"/>
        </w:rPr>
      </w:pPr>
      <w:r>
        <w:rPr>
          <w:rFonts w:hint="eastAsia" w:ascii="Times New Roman" w:hAnsi="Times New Roman" w:eastAsiaTheme="minorEastAsia" w:cstheme="minorBidi"/>
          <w:b/>
          <w:bCs/>
          <w:color w:val="FF0000"/>
          <w:kern w:val="2"/>
          <w:sz w:val="21"/>
          <w:szCs w:val="24"/>
          <w:lang w:val="en-US" w:eastAsia="zh-CN" w:bidi="ar-SA"/>
        </w:rPr>
        <w:t>2、</w:t>
      </w:r>
      <w:r>
        <w:rPr>
          <w:rFonts w:hint="eastAsia" w:ascii="Times New Roman" w:hAnsi="Times New Roman"/>
          <w:b/>
          <w:bCs/>
          <w:color w:val="FF0000"/>
          <w:lang w:val="en-US" w:eastAsia="zh-CN"/>
        </w:rPr>
        <w:t>提供供应商有效的市政公用工程施工总承包三级及以上资质(或公路交通工程（公路安全设施分项）二级及以上资质)以及有效的安全生产许可证的复印件或扫描件，加盖供应商单位公章；</w:t>
      </w:r>
    </w:p>
    <w:p w14:paraId="7B7298EC">
      <w:pPr>
        <w:tabs>
          <w:tab w:val="left" w:pos="720"/>
        </w:tabs>
        <w:spacing w:line="440" w:lineRule="exact"/>
        <w:ind w:firstLine="422" w:firstLineChars="200"/>
        <w:jc w:val="left"/>
        <w:rPr>
          <w:rFonts w:hint="default" w:ascii="Times New Roman" w:hAnsi="Times New Roman" w:eastAsiaTheme="minorEastAsia" w:cstheme="minorBidi"/>
          <w:b/>
          <w:bCs/>
          <w:color w:val="FF0000"/>
          <w:kern w:val="2"/>
          <w:sz w:val="21"/>
          <w:szCs w:val="24"/>
          <w:lang w:val="en-US" w:eastAsia="zh-CN" w:bidi="ar-SA"/>
        </w:rPr>
      </w:pPr>
      <w:r>
        <w:rPr>
          <w:rFonts w:hint="default" w:ascii="Times New Roman" w:hAnsi="Times New Roman" w:eastAsiaTheme="minorEastAsia" w:cstheme="minorBidi"/>
          <w:b/>
          <w:bCs/>
          <w:color w:val="FF0000"/>
          <w:kern w:val="2"/>
          <w:sz w:val="21"/>
          <w:szCs w:val="24"/>
          <w:lang w:val="en-US" w:eastAsia="zh-CN" w:bidi="ar-SA"/>
        </w:rPr>
        <w:t>3、</w:t>
      </w:r>
      <w:r>
        <w:rPr>
          <w:rFonts w:hint="eastAsia" w:ascii="Times New Roman" w:hAnsi="Times New Roman"/>
          <w:b/>
          <w:bCs/>
          <w:color w:val="FF0000"/>
          <w:lang w:val="en-US" w:eastAsia="zh-CN"/>
        </w:rPr>
        <w:t>提供供应商的业绩合同（附任意节点税务发票）的复印件或扫描件，加盖供应商单位公章；</w:t>
      </w:r>
    </w:p>
    <w:p w14:paraId="4D932E03">
      <w:pPr>
        <w:tabs>
          <w:tab w:val="left" w:pos="720"/>
        </w:tabs>
        <w:spacing w:line="440" w:lineRule="exact"/>
        <w:ind w:firstLine="422" w:firstLineChars="200"/>
        <w:jc w:val="left"/>
        <w:rPr>
          <w:rFonts w:hint="eastAsia" w:ascii="Times New Roman" w:hAnsi="Times New Roman" w:cs="Times New Roman" w:eastAsiaTheme="minorEastAsia"/>
          <w:szCs w:val="21"/>
          <w:lang w:eastAsia="zh-CN"/>
        </w:rPr>
      </w:pPr>
      <w:r>
        <w:rPr>
          <w:rFonts w:hint="eastAsia" w:ascii="Times New Roman" w:hAnsi="Times New Roman" w:cstheme="minorBidi"/>
          <w:b/>
          <w:bCs/>
          <w:color w:val="FF0000"/>
          <w:kern w:val="2"/>
          <w:sz w:val="21"/>
          <w:szCs w:val="24"/>
          <w:lang w:val="en-US" w:eastAsia="zh-CN" w:bidi="ar-SA"/>
        </w:rPr>
        <w:t>4、</w:t>
      </w:r>
      <w:r>
        <w:rPr>
          <w:rFonts w:hint="eastAsia" w:ascii="Times New Roman" w:hAnsi="Times New Roman"/>
          <w:b/>
          <w:bCs/>
          <w:color w:val="FF0000"/>
          <w:lang w:val="en-US" w:eastAsia="zh-CN"/>
        </w:rPr>
        <w:t>提供供应商的信用中国查询证明的复印件或扫描件，加盖供应商单位公章</w:t>
      </w:r>
      <w:r>
        <w:rPr>
          <w:rFonts w:hint="eastAsia" w:ascii="Times New Roman" w:hAnsi="Times New Roman"/>
          <w:lang w:val="en-US" w:eastAsia="zh-CN"/>
        </w:rPr>
        <w:t>。</w:t>
      </w:r>
    </w:p>
    <w:p w14:paraId="48F67B59">
      <w:pPr>
        <w:tabs>
          <w:tab w:val="left" w:pos="720"/>
        </w:tabs>
        <w:spacing w:line="440" w:lineRule="exact"/>
        <w:ind w:firstLine="756" w:firstLineChars="360"/>
        <w:rPr>
          <w:rFonts w:hint="default" w:ascii="Times New Roman" w:hAnsi="Times New Roman" w:cs="Times New Roman"/>
          <w:szCs w:val="21"/>
        </w:rPr>
      </w:pPr>
    </w:p>
    <w:p w14:paraId="5A9A8174">
      <w:pPr>
        <w:rPr>
          <w:rFonts w:hint="default" w:ascii="Times New Roman" w:hAnsi="Times New Roman" w:cs="Times New Roman"/>
          <w:szCs w:val="21"/>
        </w:rPr>
      </w:pPr>
      <w:r>
        <w:rPr>
          <w:rFonts w:hint="default" w:ascii="Times New Roman" w:hAnsi="Times New Roman" w:cs="Times New Roman"/>
          <w:szCs w:val="21"/>
        </w:rPr>
        <w:br w:type="page"/>
      </w:r>
    </w:p>
    <w:bookmarkEnd w:id="290"/>
    <w:p w14:paraId="433781BC">
      <w:pPr>
        <w:pStyle w:val="4"/>
        <w:numPr>
          <w:ilvl w:val="0"/>
          <w:numId w:val="0"/>
        </w:numPr>
        <w:jc w:val="center"/>
        <w:rPr>
          <w:rFonts w:hint="eastAsia" w:ascii="Times New Roman" w:hAnsi="Times New Roman" w:cs="Times New Roman"/>
          <w:lang w:val="en-US" w:eastAsia="zh-CN"/>
        </w:rPr>
      </w:pPr>
      <w:r>
        <w:rPr>
          <w:rFonts w:hint="eastAsia" w:ascii="Times New Roman" w:hAnsi="Times New Roman" w:cs="Times New Roman" w:eastAsiaTheme="minorEastAsia"/>
          <w:b/>
          <w:bCs/>
          <w:kern w:val="2"/>
          <w:sz w:val="32"/>
          <w:szCs w:val="32"/>
          <w:lang w:val="en-US" w:eastAsia="zh-CN" w:bidi="ar-SA"/>
        </w:rPr>
        <w:t>九、</w:t>
      </w:r>
      <w:r>
        <w:rPr>
          <w:rFonts w:hint="eastAsia" w:ascii="Times New Roman" w:hAnsi="Times New Roman" w:cs="Times New Roman"/>
          <w:lang w:val="en-US" w:eastAsia="zh-CN"/>
        </w:rPr>
        <w:t xml:space="preserve">响应方案 </w:t>
      </w:r>
    </w:p>
    <w:p w14:paraId="01554959">
      <w:pPr>
        <w:numPr>
          <w:ilvl w:val="0"/>
          <w:numId w:val="0"/>
        </w:numPr>
        <w:jc w:val="center"/>
        <w:rPr>
          <w:rFonts w:hint="eastAsia"/>
          <w:b/>
          <w:bCs/>
          <w:color w:val="FF0000"/>
          <w:lang w:val="en-US" w:eastAsia="zh-CN"/>
        </w:rPr>
      </w:pPr>
      <w:r>
        <w:rPr>
          <w:rFonts w:hint="eastAsia"/>
          <w:b/>
          <w:bCs/>
          <w:color w:val="FF0000"/>
          <w:lang w:val="en-US" w:eastAsia="zh-CN"/>
        </w:rPr>
        <w:t>（注：供应商根据询比公告/邀请书要求按需填写，如无要求，可不填写。）</w:t>
      </w:r>
    </w:p>
    <w:p w14:paraId="5785BCBC">
      <w:pPr>
        <w:numPr>
          <w:ilvl w:val="0"/>
          <w:numId w:val="0"/>
        </w:numPr>
        <w:jc w:val="center"/>
        <w:rPr>
          <w:rFonts w:hint="eastAsia"/>
          <w:b/>
          <w:bCs/>
          <w:color w:val="FF0000"/>
          <w:lang w:val="en-US" w:eastAsia="zh-CN"/>
        </w:rPr>
      </w:pPr>
    </w:p>
    <w:p w14:paraId="7F5D5ECF">
      <w:pPr>
        <w:numPr>
          <w:ilvl w:val="0"/>
          <w:numId w:val="0"/>
        </w:numPr>
        <w:jc w:val="center"/>
        <w:rPr>
          <w:rFonts w:hint="eastAsia"/>
          <w:b/>
          <w:bCs/>
          <w:color w:val="FF0000"/>
          <w:lang w:val="en-US" w:eastAsia="zh-CN"/>
        </w:rPr>
      </w:pPr>
    </w:p>
    <w:p w14:paraId="60596151">
      <w:pPr>
        <w:numPr>
          <w:ilvl w:val="0"/>
          <w:numId w:val="0"/>
        </w:numPr>
        <w:jc w:val="center"/>
        <w:rPr>
          <w:rFonts w:hint="eastAsia"/>
          <w:b/>
          <w:bCs/>
          <w:color w:val="FF0000"/>
          <w:lang w:val="en-US" w:eastAsia="zh-CN"/>
        </w:rPr>
      </w:pPr>
    </w:p>
    <w:p w14:paraId="257D536F">
      <w:pPr>
        <w:numPr>
          <w:ilvl w:val="0"/>
          <w:numId w:val="0"/>
        </w:numPr>
        <w:jc w:val="center"/>
        <w:rPr>
          <w:rFonts w:hint="eastAsia"/>
          <w:b/>
          <w:bCs/>
          <w:color w:val="FF0000"/>
          <w:lang w:val="en-US" w:eastAsia="zh-CN"/>
        </w:rPr>
      </w:pPr>
    </w:p>
    <w:p w14:paraId="6FB7C7D4">
      <w:pPr>
        <w:numPr>
          <w:ilvl w:val="0"/>
          <w:numId w:val="0"/>
        </w:numPr>
        <w:jc w:val="center"/>
        <w:rPr>
          <w:rFonts w:hint="eastAsia"/>
          <w:b/>
          <w:bCs/>
          <w:color w:val="FF0000"/>
          <w:lang w:val="en-US" w:eastAsia="zh-CN"/>
        </w:rPr>
      </w:pPr>
    </w:p>
    <w:p w14:paraId="7F7BDA23">
      <w:pPr>
        <w:numPr>
          <w:ilvl w:val="0"/>
          <w:numId w:val="0"/>
        </w:numPr>
        <w:jc w:val="center"/>
        <w:rPr>
          <w:rFonts w:hint="eastAsia"/>
          <w:b/>
          <w:bCs/>
          <w:color w:val="FF0000"/>
          <w:lang w:val="en-US" w:eastAsia="zh-CN"/>
        </w:rPr>
      </w:pPr>
    </w:p>
    <w:p w14:paraId="7872085A">
      <w:pPr>
        <w:numPr>
          <w:ilvl w:val="0"/>
          <w:numId w:val="0"/>
        </w:numPr>
        <w:jc w:val="center"/>
        <w:rPr>
          <w:rFonts w:hint="eastAsia"/>
          <w:b/>
          <w:bCs/>
          <w:color w:val="FF0000"/>
          <w:lang w:val="en-US" w:eastAsia="zh-CN"/>
        </w:rPr>
      </w:pPr>
    </w:p>
    <w:p w14:paraId="48960A8C">
      <w:pPr>
        <w:numPr>
          <w:ilvl w:val="0"/>
          <w:numId w:val="0"/>
        </w:numPr>
        <w:jc w:val="center"/>
        <w:rPr>
          <w:rFonts w:hint="eastAsia"/>
          <w:b/>
          <w:bCs/>
          <w:color w:val="FF0000"/>
          <w:lang w:val="en-US" w:eastAsia="zh-CN"/>
        </w:rPr>
      </w:pPr>
    </w:p>
    <w:p w14:paraId="6F1D301E">
      <w:pPr>
        <w:numPr>
          <w:ilvl w:val="0"/>
          <w:numId w:val="0"/>
        </w:numPr>
        <w:jc w:val="center"/>
        <w:rPr>
          <w:rFonts w:hint="eastAsia"/>
          <w:b/>
          <w:bCs/>
          <w:color w:val="FF0000"/>
          <w:lang w:val="en-US" w:eastAsia="zh-CN"/>
        </w:rPr>
      </w:pPr>
    </w:p>
    <w:p w14:paraId="7C51D111">
      <w:pPr>
        <w:numPr>
          <w:ilvl w:val="0"/>
          <w:numId w:val="0"/>
        </w:numPr>
        <w:jc w:val="center"/>
        <w:rPr>
          <w:rFonts w:hint="eastAsia"/>
          <w:b/>
          <w:bCs/>
          <w:color w:val="FF0000"/>
          <w:lang w:val="en-US" w:eastAsia="zh-CN"/>
        </w:rPr>
      </w:pPr>
    </w:p>
    <w:p w14:paraId="3482A78A">
      <w:pPr>
        <w:numPr>
          <w:ilvl w:val="0"/>
          <w:numId w:val="0"/>
        </w:numPr>
        <w:jc w:val="center"/>
        <w:rPr>
          <w:rFonts w:hint="eastAsia"/>
          <w:b/>
          <w:bCs/>
          <w:color w:val="FF0000"/>
          <w:lang w:val="en-US" w:eastAsia="zh-CN"/>
        </w:rPr>
      </w:pPr>
    </w:p>
    <w:p w14:paraId="5CBFC633">
      <w:pPr>
        <w:numPr>
          <w:ilvl w:val="0"/>
          <w:numId w:val="0"/>
        </w:numPr>
        <w:jc w:val="center"/>
        <w:rPr>
          <w:rFonts w:hint="eastAsia"/>
          <w:b/>
          <w:bCs/>
          <w:color w:val="FF0000"/>
          <w:lang w:val="en-US" w:eastAsia="zh-CN"/>
        </w:rPr>
      </w:pPr>
    </w:p>
    <w:p w14:paraId="00C4A037">
      <w:pPr>
        <w:numPr>
          <w:ilvl w:val="0"/>
          <w:numId w:val="0"/>
        </w:numPr>
        <w:jc w:val="center"/>
        <w:rPr>
          <w:rFonts w:hint="eastAsia"/>
          <w:b/>
          <w:bCs/>
          <w:color w:val="FF0000"/>
          <w:lang w:val="en-US" w:eastAsia="zh-CN"/>
        </w:rPr>
      </w:pPr>
    </w:p>
    <w:p w14:paraId="1E5B7EEB">
      <w:pPr>
        <w:pStyle w:val="4"/>
        <w:numPr>
          <w:ilvl w:val="0"/>
          <w:numId w:val="0"/>
        </w:numPr>
        <w:jc w:val="center"/>
        <w:rPr>
          <w:rFonts w:hint="default" w:ascii="Times New Roman" w:hAnsi="Times New Roman" w:cs="Times New Roman"/>
          <w:lang w:val="en-US" w:eastAsia="zh-CN"/>
        </w:rPr>
      </w:pPr>
      <w:bookmarkStart w:id="315" w:name="_Toc300835233"/>
      <w:bookmarkStart w:id="316" w:name="_Toc271821942"/>
      <w:r>
        <w:rPr>
          <w:rFonts w:hint="eastAsia" w:ascii="Times New Roman" w:hAnsi="Times New Roman" w:cs="Times New Roman"/>
          <w:lang w:val="en-US" w:eastAsia="zh-CN"/>
        </w:rPr>
        <w:t>十</w:t>
      </w:r>
      <w:r>
        <w:rPr>
          <w:rFonts w:hint="default" w:ascii="Times New Roman" w:hAnsi="Times New Roman" w:cs="Times New Roman"/>
          <w:lang w:val="en-US" w:eastAsia="zh-CN"/>
        </w:rPr>
        <w:t>、其他资料</w:t>
      </w:r>
      <w:bookmarkEnd w:id="315"/>
      <w:bookmarkEnd w:id="316"/>
    </w:p>
    <w:p w14:paraId="2A13D196">
      <w:pPr>
        <w:ind w:firstLine="420" w:firstLineChars="200"/>
        <w:rPr>
          <w:rFonts w:hint="eastAsia" w:ascii="Times New Roman" w:hAnsi="Times New Roman" w:eastAsiaTheme="minorEastAsia"/>
          <w:lang w:eastAsia="zh-CN"/>
        </w:rPr>
      </w:pPr>
      <w:r>
        <w:rPr>
          <w:rFonts w:hint="eastAsia" w:ascii="Times New Roman" w:hAnsi="Times New Roman"/>
        </w:rPr>
        <w:t>第</w:t>
      </w:r>
      <w:r>
        <w:rPr>
          <w:rFonts w:hint="eastAsia" w:ascii="Times New Roman" w:hAnsi="Times New Roman"/>
          <w:lang w:val="en-US" w:eastAsia="zh-CN"/>
        </w:rPr>
        <w:t>六</w:t>
      </w:r>
      <w:r>
        <w:rPr>
          <w:rFonts w:hint="eastAsia" w:ascii="Times New Roman" w:hAnsi="Times New Roman"/>
        </w:rPr>
        <w:t>章“</w:t>
      </w:r>
      <w:r>
        <w:rPr>
          <w:rFonts w:hint="eastAsia" w:ascii="Times New Roman" w:hAnsi="Times New Roman"/>
          <w:lang w:val="en-US" w:eastAsia="zh-CN"/>
        </w:rPr>
        <w:t>响应</w:t>
      </w:r>
      <w:r>
        <w:rPr>
          <w:rFonts w:hint="eastAsia" w:ascii="Times New Roman" w:hAnsi="Times New Roman"/>
        </w:rPr>
        <w:t>文件格式”未详尽列举，但</w:t>
      </w:r>
      <w:r>
        <w:rPr>
          <w:rFonts w:hint="eastAsia" w:ascii="Times New Roman" w:hAnsi="Times New Roman"/>
          <w:lang w:val="en-US" w:eastAsia="zh-CN"/>
        </w:rPr>
        <w:t>询比</w:t>
      </w:r>
      <w:r>
        <w:rPr>
          <w:rFonts w:hint="eastAsia" w:ascii="Times New Roman" w:hAnsi="Times New Roman"/>
        </w:rPr>
        <w:t>文件要求或</w:t>
      </w:r>
      <w:r>
        <w:rPr>
          <w:rFonts w:hint="eastAsia" w:ascii="Times New Roman" w:hAnsi="Times New Roman"/>
          <w:lang w:val="en-US" w:eastAsia="zh-CN"/>
        </w:rPr>
        <w:t>供应商认为</w:t>
      </w:r>
      <w:r>
        <w:rPr>
          <w:rFonts w:hint="eastAsia" w:ascii="Times New Roman" w:hAnsi="Times New Roman"/>
        </w:rPr>
        <w:t>有必要提供的资料</w:t>
      </w:r>
      <w:r>
        <w:rPr>
          <w:rFonts w:hint="eastAsia" w:ascii="Times New Roman" w:hAnsi="Times New Roman"/>
          <w:lang w:eastAsia="zh-CN"/>
        </w:rPr>
        <w:t>。</w:t>
      </w:r>
    </w:p>
    <w:p w14:paraId="7E49C614">
      <w:pPr>
        <w:rPr>
          <w:rFonts w:hint="default" w:ascii="Times New Roman" w:hAnsi="Times New Roman" w:eastAsia="宋体" w:cs="Times New Roman"/>
          <w:b w:val="0"/>
          <w:bCs w:val="0"/>
          <w:kern w:val="0"/>
          <w:sz w:val="24"/>
          <w:szCs w:val="24"/>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557DEC4-0AEE-44C6-A678-ACF679BD2AEB}"/>
  </w:font>
  <w:font w:name="Arial">
    <w:panose1 w:val="020B0604020202020204"/>
    <w:charset w:val="01"/>
    <w:family w:val="swiss"/>
    <w:pitch w:val="default"/>
    <w:sig w:usb0="E0002EFF" w:usb1="C000785B" w:usb2="00000009" w:usb3="00000000" w:csb0="400001FF" w:csb1="FFFF0000"/>
    <w:embedRegular r:id="rId2" w:fontKey="{771E0810-D669-4133-84DA-BB9B08AD8FFB}"/>
  </w:font>
  <w:font w:name="黑体">
    <w:panose1 w:val="02010609060101010101"/>
    <w:charset w:val="86"/>
    <w:family w:val="auto"/>
    <w:pitch w:val="default"/>
    <w:sig w:usb0="800002BF" w:usb1="38CF7CFA" w:usb2="00000016" w:usb3="00000000" w:csb0="00040001" w:csb1="00000000"/>
    <w:embedRegular r:id="rId3" w:fontKey="{0E4C0FD2-14D5-48E8-B09A-F59938931C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726C3AE1-1712-47DE-8E79-94BFDEBEFE81}"/>
  </w:font>
  <w:font w:name="仿宋_GB2312">
    <w:panose1 w:val="02010609030101010101"/>
    <w:charset w:val="86"/>
    <w:family w:val="modern"/>
    <w:pitch w:val="default"/>
    <w:sig w:usb0="00000001" w:usb1="080E0000" w:usb2="00000000" w:usb3="00000000" w:csb0="00040000" w:csb1="00000000"/>
    <w:embedRegular r:id="rId5" w:fontKey="{93DA4743-B8AD-4B1A-A169-BC7F8153C7C7}"/>
  </w:font>
  <w:font w:name="方正小标宋简体">
    <w:panose1 w:val="03000509000000000000"/>
    <w:charset w:val="86"/>
    <w:family w:val="auto"/>
    <w:pitch w:val="default"/>
    <w:sig w:usb0="00000001" w:usb1="080E0000" w:usb2="00000000" w:usb3="00000000" w:csb0="00040000" w:csb1="00000000"/>
    <w:embedRegular r:id="rId6" w:fontKey="{67603E52-ECA3-47B0-B79A-CF6A229CB106}"/>
  </w:font>
  <w:font w:name="楷体">
    <w:panose1 w:val="02010609060101010101"/>
    <w:charset w:val="86"/>
    <w:family w:val="auto"/>
    <w:pitch w:val="default"/>
    <w:sig w:usb0="800002BF" w:usb1="38CF7CFA" w:usb2="00000016" w:usb3="00000000" w:csb0="00040001" w:csb1="00000000"/>
    <w:embedRegular r:id="rId7" w:fontKey="{4BA0E709-1D44-4570-9846-E0EAE94E0775}"/>
  </w:font>
  <w:font w:name="Wingdings 2">
    <w:panose1 w:val="05020102010507070707"/>
    <w:charset w:val="00"/>
    <w:family w:val="auto"/>
    <w:pitch w:val="default"/>
    <w:sig w:usb0="00000000" w:usb1="00000000" w:usb2="00000000" w:usb3="00000000" w:csb0="80000000" w:csb1="00000000"/>
    <w:embedRegular r:id="rId8" w:fontKey="{04F29258-7051-4010-BED0-C9C7E6F36405}"/>
  </w:font>
  <w:font w:name="方正仿宋_GB2312">
    <w:panose1 w:val="02000000000000000000"/>
    <w:charset w:val="86"/>
    <w:family w:val="auto"/>
    <w:pitch w:val="default"/>
    <w:sig w:usb0="A00002BF" w:usb1="184F6CFA" w:usb2="00000012" w:usb3="00000000" w:csb0="00040001" w:csb1="00000000"/>
    <w:embedRegular r:id="rId9" w:fontKey="{8AB4250A-6D53-4781-89A7-3301E6B11BD9}"/>
  </w:font>
  <w:font w:name="仿宋">
    <w:panose1 w:val="02010609060101010101"/>
    <w:charset w:val="86"/>
    <w:family w:val="modern"/>
    <w:pitch w:val="default"/>
    <w:sig w:usb0="800002BF" w:usb1="38CF7CFA" w:usb2="00000016" w:usb3="00000000" w:csb0="00040001" w:csb1="00000000"/>
    <w:embedRegular r:id="rId10" w:fontKey="{C4EE2981-1C4E-4B8D-8FBF-05BFB9B9F1C0}"/>
  </w:font>
  <w:font w:name="WPSEMBED1">
    <w:panose1 w:val="05020102010507070707"/>
    <w:charset w:val="00"/>
    <w:family w:val="auto"/>
    <w:pitch w:val="default"/>
    <w:sig w:usb0="00000000" w:usb1="00000000" w:usb2="00000000" w:usb3="00000000" w:csb0="8000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5AB4">
    <w:pPr>
      <w:pStyle w:val="1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35B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8B8AC">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8B8AC">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E4733">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jkzN2ZlZjQxZjYzMzcyZDI3NmZhNzYzYWFlNDAifQ=="/>
  </w:docVars>
  <w:rsids>
    <w:rsidRoot w:val="00000000"/>
    <w:rsid w:val="000A4B92"/>
    <w:rsid w:val="001D7D62"/>
    <w:rsid w:val="002609D3"/>
    <w:rsid w:val="002C069E"/>
    <w:rsid w:val="002C4449"/>
    <w:rsid w:val="00381040"/>
    <w:rsid w:val="0040224D"/>
    <w:rsid w:val="00615EA1"/>
    <w:rsid w:val="006C14A9"/>
    <w:rsid w:val="00733B0B"/>
    <w:rsid w:val="00764376"/>
    <w:rsid w:val="00796B76"/>
    <w:rsid w:val="00813A17"/>
    <w:rsid w:val="00850CC0"/>
    <w:rsid w:val="00877F19"/>
    <w:rsid w:val="00AF450E"/>
    <w:rsid w:val="00B00F2F"/>
    <w:rsid w:val="00B71F65"/>
    <w:rsid w:val="00E24826"/>
    <w:rsid w:val="00F9432B"/>
    <w:rsid w:val="00FF308E"/>
    <w:rsid w:val="010E1D00"/>
    <w:rsid w:val="01115B19"/>
    <w:rsid w:val="01180B1A"/>
    <w:rsid w:val="011959AD"/>
    <w:rsid w:val="011E6004"/>
    <w:rsid w:val="01311D17"/>
    <w:rsid w:val="01423F24"/>
    <w:rsid w:val="0145105E"/>
    <w:rsid w:val="018C519F"/>
    <w:rsid w:val="019846E3"/>
    <w:rsid w:val="01AA1AC9"/>
    <w:rsid w:val="01B6046E"/>
    <w:rsid w:val="01B666C0"/>
    <w:rsid w:val="01CB0CDF"/>
    <w:rsid w:val="01CD2334"/>
    <w:rsid w:val="01E140D3"/>
    <w:rsid w:val="01EE4D0C"/>
    <w:rsid w:val="01F16263"/>
    <w:rsid w:val="02016132"/>
    <w:rsid w:val="0212370C"/>
    <w:rsid w:val="021D348F"/>
    <w:rsid w:val="022A6766"/>
    <w:rsid w:val="026E5FAB"/>
    <w:rsid w:val="02892727"/>
    <w:rsid w:val="02983D41"/>
    <w:rsid w:val="029E162E"/>
    <w:rsid w:val="029F2BC9"/>
    <w:rsid w:val="02A31129"/>
    <w:rsid w:val="02A46690"/>
    <w:rsid w:val="02AC508C"/>
    <w:rsid w:val="02BE075F"/>
    <w:rsid w:val="02BE15ED"/>
    <w:rsid w:val="02CF7A3A"/>
    <w:rsid w:val="02F4317E"/>
    <w:rsid w:val="03065622"/>
    <w:rsid w:val="0324584F"/>
    <w:rsid w:val="032652C7"/>
    <w:rsid w:val="033964DC"/>
    <w:rsid w:val="03404493"/>
    <w:rsid w:val="034877EC"/>
    <w:rsid w:val="035021B2"/>
    <w:rsid w:val="035F6CAE"/>
    <w:rsid w:val="03633AA8"/>
    <w:rsid w:val="036839EA"/>
    <w:rsid w:val="03696450"/>
    <w:rsid w:val="038E65F9"/>
    <w:rsid w:val="039755A9"/>
    <w:rsid w:val="039D7B38"/>
    <w:rsid w:val="03A03184"/>
    <w:rsid w:val="03B7227C"/>
    <w:rsid w:val="03BD623A"/>
    <w:rsid w:val="03C10800"/>
    <w:rsid w:val="03C96DCC"/>
    <w:rsid w:val="03E5328D"/>
    <w:rsid w:val="03EB2744"/>
    <w:rsid w:val="03F10FDA"/>
    <w:rsid w:val="03F253EE"/>
    <w:rsid w:val="03F35283"/>
    <w:rsid w:val="03FB71CD"/>
    <w:rsid w:val="03FD2384"/>
    <w:rsid w:val="04090D29"/>
    <w:rsid w:val="040C6A6B"/>
    <w:rsid w:val="04127BBC"/>
    <w:rsid w:val="041515CF"/>
    <w:rsid w:val="04210376"/>
    <w:rsid w:val="04212D24"/>
    <w:rsid w:val="04223B99"/>
    <w:rsid w:val="042C575E"/>
    <w:rsid w:val="04382327"/>
    <w:rsid w:val="043A6EF6"/>
    <w:rsid w:val="043F5557"/>
    <w:rsid w:val="044363A4"/>
    <w:rsid w:val="04461F7D"/>
    <w:rsid w:val="044E52CD"/>
    <w:rsid w:val="0462668B"/>
    <w:rsid w:val="046441B2"/>
    <w:rsid w:val="04885B47"/>
    <w:rsid w:val="04A52387"/>
    <w:rsid w:val="04B073F7"/>
    <w:rsid w:val="04B54547"/>
    <w:rsid w:val="04C35D04"/>
    <w:rsid w:val="04CD15E8"/>
    <w:rsid w:val="04CF4810"/>
    <w:rsid w:val="04D63FDF"/>
    <w:rsid w:val="04D72186"/>
    <w:rsid w:val="04E452F2"/>
    <w:rsid w:val="04E470A0"/>
    <w:rsid w:val="04E70524"/>
    <w:rsid w:val="04E86B91"/>
    <w:rsid w:val="04EB08D2"/>
    <w:rsid w:val="04EC7DA2"/>
    <w:rsid w:val="04FF2195"/>
    <w:rsid w:val="050252F6"/>
    <w:rsid w:val="05045FA7"/>
    <w:rsid w:val="05121531"/>
    <w:rsid w:val="0541752E"/>
    <w:rsid w:val="055625ED"/>
    <w:rsid w:val="05625696"/>
    <w:rsid w:val="0572490A"/>
    <w:rsid w:val="057E3D65"/>
    <w:rsid w:val="058253F2"/>
    <w:rsid w:val="05872EB9"/>
    <w:rsid w:val="05933026"/>
    <w:rsid w:val="05BA17C0"/>
    <w:rsid w:val="05D9116E"/>
    <w:rsid w:val="05F17CC7"/>
    <w:rsid w:val="05F23A3F"/>
    <w:rsid w:val="061F0438"/>
    <w:rsid w:val="06292F58"/>
    <w:rsid w:val="063F4D83"/>
    <w:rsid w:val="064747B7"/>
    <w:rsid w:val="064B59D4"/>
    <w:rsid w:val="06501BB5"/>
    <w:rsid w:val="06624967"/>
    <w:rsid w:val="06626753"/>
    <w:rsid w:val="06644225"/>
    <w:rsid w:val="06714440"/>
    <w:rsid w:val="067240CC"/>
    <w:rsid w:val="067608B0"/>
    <w:rsid w:val="06783E52"/>
    <w:rsid w:val="068648B3"/>
    <w:rsid w:val="06866D3C"/>
    <w:rsid w:val="068D43A1"/>
    <w:rsid w:val="06950D6B"/>
    <w:rsid w:val="06972E4E"/>
    <w:rsid w:val="069F7723"/>
    <w:rsid w:val="06A31B6E"/>
    <w:rsid w:val="06A848F7"/>
    <w:rsid w:val="06B86823"/>
    <w:rsid w:val="06B86A37"/>
    <w:rsid w:val="06BF2153"/>
    <w:rsid w:val="06D01FD2"/>
    <w:rsid w:val="06D375E0"/>
    <w:rsid w:val="06D9502E"/>
    <w:rsid w:val="06E329B2"/>
    <w:rsid w:val="06EB4F76"/>
    <w:rsid w:val="06ED1728"/>
    <w:rsid w:val="06F81D74"/>
    <w:rsid w:val="072F6604"/>
    <w:rsid w:val="073836D3"/>
    <w:rsid w:val="073A0ECF"/>
    <w:rsid w:val="074267A8"/>
    <w:rsid w:val="07462294"/>
    <w:rsid w:val="074A7C93"/>
    <w:rsid w:val="074F1149"/>
    <w:rsid w:val="07632E46"/>
    <w:rsid w:val="07666E00"/>
    <w:rsid w:val="07723470"/>
    <w:rsid w:val="07762B7A"/>
    <w:rsid w:val="077965A7"/>
    <w:rsid w:val="07832BA1"/>
    <w:rsid w:val="07943000"/>
    <w:rsid w:val="07972327"/>
    <w:rsid w:val="07A85930"/>
    <w:rsid w:val="07B0770E"/>
    <w:rsid w:val="07B408D7"/>
    <w:rsid w:val="07D63653"/>
    <w:rsid w:val="07EE56D8"/>
    <w:rsid w:val="07F65A68"/>
    <w:rsid w:val="081608A9"/>
    <w:rsid w:val="08294E5C"/>
    <w:rsid w:val="082D0DDC"/>
    <w:rsid w:val="08346591"/>
    <w:rsid w:val="083726B7"/>
    <w:rsid w:val="083B791F"/>
    <w:rsid w:val="084A40EA"/>
    <w:rsid w:val="08554A0D"/>
    <w:rsid w:val="08563EE1"/>
    <w:rsid w:val="08673FC1"/>
    <w:rsid w:val="086D3DA1"/>
    <w:rsid w:val="08774BE1"/>
    <w:rsid w:val="088E1D7C"/>
    <w:rsid w:val="088F5820"/>
    <w:rsid w:val="08903F11"/>
    <w:rsid w:val="08932D8F"/>
    <w:rsid w:val="08B056B6"/>
    <w:rsid w:val="08BE35C2"/>
    <w:rsid w:val="08C616D3"/>
    <w:rsid w:val="08E13E13"/>
    <w:rsid w:val="08E92ED7"/>
    <w:rsid w:val="08ED571D"/>
    <w:rsid w:val="08F33D56"/>
    <w:rsid w:val="08F53A28"/>
    <w:rsid w:val="09013E16"/>
    <w:rsid w:val="090E719A"/>
    <w:rsid w:val="09153CCC"/>
    <w:rsid w:val="0922447E"/>
    <w:rsid w:val="0926237D"/>
    <w:rsid w:val="092D0C4C"/>
    <w:rsid w:val="093525C0"/>
    <w:rsid w:val="093E76C7"/>
    <w:rsid w:val="096213E6"/>
    <w:rsid w:val="09637EAD"/>
    <w:rsid w:val="09641BD1"/>
    <w:rsid w:val="0967298A"/>
    <w:rsid w:val="098350DA"/>
    <w:rsid w:val="098F4C8F"/>
    <w:rsid w:val="099948FD"/>
    <w:rsid w:val="09A71C3D"/>
    <w:rsid w:val="09A92667"/>
    <w:rsid w:val="09AF2C22"/>
    <w:rsid w:val="09B32D8C"/>
    <w:rsid w:val="09B94F9F"/>
    <w:rsid w:val="09BB6AB2"/>
    <w:rsid w:val="09C37FE6"/>
    <w:rsid w:val="09C6146A"/>
    <w:rsid w:val="09D236A1"/>
    <w:rsid w:val="09DB25D9"/>
    <w:rsid w:val="09DF226A"/>
    <w:rsid w:val="09E87633"/>
    <w:rsid w:val="09EC69D2"/>
    <w:rsid w:val="09F31262"/>
    <w:rsid w:val="09FD66D9"/>
    <w:rsid w:val="0A074254"/>
    <w:rsid w:val="0A0B0C4F"/>
    <w:rsid w:val="0A0D7099"/>
    <w:rsid w:val="0A2F0DBE"/>
    <w:rsid w:val="0A3B332D"/>
    <w:rsid w:val="0A3E36F7"/>
    <w:rsid w:val="0A466107"/>
    <w:rsid w:val="0A500304"/>
    <w:rsid w:val="0A5234C1"/>
    <w:rsid w:val="0A704DEE"/>
    <w:rsid w:val="0A801619"/>
    <w:rsid w:val="0A8B5261"/>
    <w:rsid w:val="0A8E5075"/>
    <w:rsid w:val="0A9462D3"/>
    <w:rsid w:val="0AA913FB"/>
    <w:rsid w:val="0AAE6B76"/>
    <w:rsid w:val="0AB37F43"/>
    <w:rsid w:val="0AB779C9"/>
    <w:rsid w:val="0AB930A2"/>
    <w:rsid w:val="0ADD0DF0"/>
    <w:rsid w:val="0AEB40E8"/>
    <w:rsid w:val="0AF0197B"/>
    <w:rsid w:val="0AF12519"/>
    <w:rsid w:val="0AFF69E2"/>
    <w:rsid w:val="0B040E20"/>
    <w:rsid w:val="0B0A404A"/>
    <w:rsid w:val="0B0E131B"/>
    <w:rsid w:val="0B416906"/>
    <w:rsid w:val="0B5D1C2A"/>
    <w:rsid w:val="0B685C3C"/>
    <w:rsid w:val="0B7202E7"/>
    <w:rsid w:val="0B7C0033"/>
    <w:rsid w:val="0B923CFA"/>
    <w:rsid w:val="0B991D46"/>
    <w:rsid w:val="0B9F686D"/>
    <w:rsid w:val="0BDC31C7"/>
    <w:rsid w:val="0BDE31B0"/>
    <w:rsid w:val="0C110CA2"/>
    <w:rsid w:val="0C165556"/>
    <w:rsid w:val="0C581CC5"/>
    <w:rsid w:val="0C773477"/>
    <w:rsid w:val="0C873133"/>
    <w:rsid w:val="0C9F113B"/>
    <w:rsid w:val="0CAF7C91"/>
    <w:rsid w:val="0CD3448B"/>
    <w:rsid w:val="0CF072F3"/>
    <w:rsid w:val="0D012623"/>
    <w:rsid w:val="0D0271E7"/>
    <w:rsid w:val="0D1336AF"/>
    <w:rsid w:val="0D1D3973"/>
    <w:rsid w:val="0D2466BD"/>
    <w:rsid w:val="0D3A1668"/>
    <w:rsid w:val="0D4E28CF"/>
    <w:rsid w:val="0D5A43A4"/>
    <w:rsid w:val="0D5C2246"/>
    <w:rsid w:val="0D5E3DDF"/>
    <w:rsid w:val="0D6A3C45"/>
    <w:rsid w:val="0D7F3B4D"/>
    <w:rsid w:val="0D841421"/>
    <w:rsid w:val="0D84383E"/>
    <w:rsid w:val="0DA13B17"/>
    <w:rsid w:val="0DA277FF"/>
    <w:rsid w:val="0DB22432"/>
    <w:rsid w:val="0DB8057F"/>
    <w:rsid w:val="0DBB0411"/>
    <w:rsid w:val="0DC57869"/>
    <w:rsid w:val="0DD00B0A"/>
    <w:rsid w:val="0DD331D8"/>
    <w:rsid w:val="0DDB677F"/>
    <w:rsid w:val="0DE95727"/>
    <w:rsid w:val="0E053AB5"/>
    <w:rsid w:val="0E093A81"/>
    <w:rsid w:val="0E1201C4"/>
    <w:rsid w:val="0E2844A2"/>
    <w:rsid w:val="0E323572"/>
    <w:rsid w:val="0E35096D"/>
    <w:rsid w:val="0E3C08A3"/>
    <w:rsid w:val="0E4868F2"/>
    <w:rsid w:val="0E626142"/>
    <w:rsid w:val="0E6C36EA"/>
    <w:rsid w:val="0E6D3EE4"/>
    <w:rsid w:val="0E8168AC"/>
    <w:rsid w:val="0E9601D9"/>
    <w:rsid w:val="0E9D59AD"/>
    <w:rsid w:val="0EA24254"/>
    <w:rsid w:val="0EAB29B5"/>
    <w:rsid w:val="0EAC50D3"/>
    <w:rsid w:val="0EBD2E3C"/>
    <w:rsid w:val="0EC51CF1"/>
    <w:rsid w:val="0ED463D8"/>
    <w:rsid w:val="0ED624A7"/>
    <w:rsid w:val="0EDF39F1"/>
    <w:rsid w:val="0EDF4D5E"/>
    <w:rsid w:val="0EE1117F"/>
    <w:rsid w:val="0EF860F0"/>
    <w:rsid w:val="0F024085"/>
    <w:rsid w:val="0F1438EF"/>
    <w:rsid w:val="0F263D0E"/>
    <w:rsid w:val="0F463825"/>
    <w:rsid w:val="0F4B0F6A"/>
    <w:rsid w:val="0F5660FF"/>
    <w:rsid w:val="0F575798"/>
    <w:rsid w:val="0F5F5CB1"/>
    <w:rsid w:val="0F6D192D"/>
    <w:rsid w:val="0F6E4AA0"/>
    <w:rsid w:val="0F886069"/>
    <w:rsid w:val="0FA4706B"/>
    <w:rsid w:val="0FA819A2"/>
    <w:rsid w:val="0FCA08C0"/>
    <w:rsid w:val="0FCA14B6"/>
    <w:rsid w:val="0FCE0971"/>
    <w:rsid w:val="0FD022B3"/>
    <w:rsid w:val="0FE05A9A"/>
    <w:rsid w:val="0FE3306C"/>
    <w:rsid w:val="0FE42DE8"/>
    <w:rsid w:val="0FF94348"/>
    <w:rsid w:val="0FFA6EBC"/>
    <w:rsid w:val="101038A7"/>
    <w:rsid w:val="101E2D38"/>
    <w:rsid w:val="10446D2F"/>
    <w:rsid w:val="104957CA"/>
    <w:rsid w:val="104D6EF3"/>
    <w:rsid w:val="105C0433"/>
    <w:rsid w:val="106404B7"/>
    <w:rsid w:val="1069417C"/>
    <w:rsid w:val="106C1E4B"/>
    <w:rsid w:val="10772B1E"/>
    <w:rsid w:val="108A23D3"/>
    <w:rsid w:val="108A24B6"/>
    <w:rsid w:val="108D506C"/>
    <w:rsid w:val="1095135B"/>
    <w:rsid w:val="10CD621A"/>
    <w:rsid w:val="10D35E97"/>
    <w:rsid w:val="110805BA"/>
    <w:rsid w:val="11114551"/>
    <w:rsid w:val="1122167C"/>
    <w:rsid w:val="112269D1"/>
    <w:rsid w:val="112C42A9"/>
    <w:rsid w:val="11356135"/>
    <w:rsid w:val="11800917"/>
    <w:rsid w:val="118955AD"/>
    <w:rsid w:val="11970BCB"/>
    <w:rsid w:val="1197226B"/>
    <w:rsid w:val="11AA0839"/>
    <w:rsid w:val="11AF3F8B"/>
    <w:rsid w:val="11C42470"/>
    <w:rsid w:val="11C71895"/>
    <w:rsid w:val="11CA3C1A"/>
    <w:rsid w:val="11CD444A"/>
    <w:rsid w:val="11D54941"/>
    <w:rsid w:val="11E2334D"/>
    <w:rsid w:val="11EA4DE7"/>
    <w:rsid w:val="11EE77B0"/>
    <w:rsid w:val="11F058CE"/>
    <w:rsid w:val="11F12DFD"/>
    <w:rsid w:val="11FC3F3B"/>
    <w:rsid w:val="12110B1B"/>
    <w:rsid w:val="123A69E4"/>
    <w:rsid w:val="12445622"/>
    <w:rsid w:val="124D3BAD"/>
    <w:rsid w:val="1250061C"/>
    <w:rsid w:val="12545C35"/>
    <w:rsid w:val="125A52C4"/>
    <w:rsid w:val="12655D96"/>
    <w:rsid w:val="127557DC"/>
    <w:rsid w:val="127A564B"/>
    <w:rsid w:val="128E3C38"/>
    <w:rsid w:val="129B676B"/>
    <w:rsid w:val="12B56269"/>
    <w:rsid w:val="12BF2922"/>
    <w:rsid w:val="12C942C8"/>
    <w:rsid w:val="12D06EB6"/>
    <w:rsid w:val="12DC5F5E"/>
    <w:rsid w:val="12DC7F8C"/>
    <w:rsid w:val="12E82A0B"/>
    <w:rsid w:val="12E84200"/>
    <w:rsid w:val="131873D2"/>
    <w:rsid w:val="131D498C"/>
    <w:rsid w:val="13274F9C"/>
    <w:rsid w:val="133B4C77"/>
    <w:rsid w:val="133E22ED"/>
    <w:rsid w:val="13417410"/>
    <w:rsid w:val="134A448A"/>
    <w:rsid w:val="134F427F"/>
    <w:rsid w:val="134F7EA7"/>
    <w:rsid w:val="135107A8"/>
    <w:rsid w:val="136066CF"/>
    <w:rsid w:val="13657E31"/>
    <w:rsid w:val="136C3340"/>
    <w:rsid w:val="137E368F"/>
    <w:rsid w:val="1387094F"/>
    <w:rsid w:val="138D7D05"/>
    <w:rsid w:val="13900507"/>
    <w:rsid w:val="139C08EB"/>
    <w:rsid w:val="13D35238"/>
    <w:rsid w:val="13D81B1F"/>
    <w:rsid w:val="14061B66"/>
    <w:rsid w:val="14143273"/>
    <w:rsid w:val="14165942"/>
    <w:rsid w:val="142B5FE2"/>
    <w:rsid w:val="14327E28"/>
    <w:rsid w:val="14542872"/>
    <w:rsid w:val="14773A8D"/>
    <w:rsid w:val="147E2423"/>
    <w:rsid w:val="1487273A"/>
    <w:rsid w:val="148C28CB"/>
    <w:rsid w:val="14944440"/>
    <w:rsid w:val="14A059A0"/>
    <w:rsid w:val="14A800EA"/>
    <w:rsid w:val="14B97B05"/>
    <w:rsid w:val="14CD31B9"/>
    <w:rsid w:val="14DA6BBE"/>
    <w:rsid w:val="14DB226E"/>
    <w:rsid w:val="14E153AA"/>
    <w:rsid w:val="14E67563"/>
    <w:rsid w:val="14F926F4"/>
    <w:rsid w:val="14FA3315"/>
    <w:rsid w:val="15021B62"/>
    <w:rsid w:val="150A21BA"/>
    <w:rsid w:val="151779D1"/>
    <w:rsid w:val="151C17D3"/>
    <w:rsid w:val="1522437E"/>
    <w:rsid w:val="15283931"/>
    <w:rsid w:val="15382F40"/>
    <w:rsid w:val="154B07D3"/>
    <w:rsid w:val="155362A8"/>
    <w:rsid w:val="155A7AD3"/>
    <w:rsid w:val="158374C1"/>
    <w:rsid w:val="15A4100D"/>
    <w:rsid w:val="15A62ECC"/>
    <w:rsid w:val="15B14179"/>
    <w:rsid w:val="15C516BD"/>
    <w:rsid w:val="15CC3B64"/>
    <w:rsid w:val="15CF6FE1"/>
    <w:rsid w:val="15D469C1"/>
    <w:rsid w:val="160055BA"/>
    <w:rsid w:val="160475A2"/>
    <w:rsid w:val="160F71A0"/>
    <w:rsid w:val="162304BC"/>
    <w:rsid w:val="16260CA4"/>
    <w:rsid w:val="164D0F49"/>
    <w:rsid w:val="166266B1"/>
    <w:rsid w:val="16932BF5"/>
    <w:rsid w:val="169528F0"/>
    <w:rsid w:val="16C724D4"/>
    <w:rsid w:val="16D411E7"/>
    <w:rsid w:val="16ED0036"/>
    <w:rsid w:val="170756D4"/>
    <w:rsid w:val="170F4587"/>
    <w:rsid w:val="173043C7"/>
    <w:rsid w:val="174F6F43"/>
    <w:rsid w:val="17591B70"/>
    <w:rsid w:val="17600C81"/>
    <w:rsid w:val="176115DC"/>
    <w:rsid w:val="176D7525"/>
    <w:rsid w:val="17740758"/>
    <w:rsid w:val="17824660"/>
    <w:rsid w:val="178F2FF8"/>
    <w:rsid w:val="179121FE"/>
    <w:rsid w:val="17915931"/>
    <w:rsid w:val="17C41ABF"/>
    <w:rsid w:val="17C4465B"/>
    <w:rsid w:val="17E02C2C"/>
    <w:rsid w:val="17E92EF4"/>
    <w:rsid w:val="17EE7D48"/>
    <w:rsid w:val="18057602"/>
    <w:rsid w:val="18175D56"/>
    <w:rsid w:val="18197F61"/>
    <w:rsid w:val="18276B10"/>
    <w:rsid w:val="18627B26"/>
    <w:rsid w:val="18695DE3"/>
    <w:rsid w:val="18930C59"/>
    <w:rsid w:val="189B5F22"/>
    <w:rsid w:val="18A70256"/>
    <w:rsid w:val="18A70F0E"/>
    <w:rsid w:val="18A944F8"/>
    <w:rsid w:val="18B73074"/>
    <w:rsid w:val="18DA76F1"/>
    <w:rsid w:val="18E57F8F"/>
    <w:rsid w:val="18E86D07"/>
    <w:rsid w:val="18EC2236"/>
    <w:rsid w:val="18EE47F3"/>
    <w:rsid w:val="18F5267A"/>
    <w:rsid w:val="19031D93"/>
    <w:rsid w:val="19034C2D"/>
    <w:rsid w:val="1916127C"/>
    <w:rsid w:val="19166340"/>
    <w:rsid w:val="191B662F"/>
    <w:rsid w:val="192F13FC"/>
    <w:rsid w:val="193D465D"/>
    <w:rsid w:val="193D4E12"/>
    <w:rsid w:val="19483C4A"/>
    <w:rsid w:val="196C6238"/>
    <w:rsid w:val="198A59D6"/>
    <w:rsid w:val="19A73D74"/>
    <w:rsid w:val="19AA5416"/>
    <w:rsid w:val="19CD1CDB"/>
    <w:rsid w:val="19CE7FF6"/>
    <w:rsid w:val="19D11E91"/>
    <w:rsid w:val="19D70C6D"/>
    <w:rsid w:val="19E2271F"/>
    <w:rsid w:val="1A075570"/>
    <w:rsid w:val="1A1C623A"/>
    <w:rsid w:val="1A270D5F"/>
    <w:rsid w:val="1A442027"/>
    <w:rsid w:val="1A4C65B4"/>
    <w:rsid w:val="1A4D4CED"/>
    <w:rsid w:val="1A6861C1"/>
    <w:rsid w:val="1A6E148E"/>
    <w:rsid w:val="1A74433A"/>
    <w:rsid w:val="1A797469"/>
    <w:rsid w:val="1A8850B8"/>
    <w:rsid w:val="1A9B5FFB"/>
    <w:rsid w:val="1AA066C8"/>
    <w:rsid w:val="1ABF2F84"/>
    <w:rsid w:val="1ADB0B95"/>
    <w:rsid w:val="1AE31E7C"/>
    <w:rsid w:val="1AF80851"/>
    <w:rsid w:val="1B0361BC"/>
    <w:rsid w:val="1B097409"/>
    <w:rsid w:val="1B116412"/>
    <w:rsid w:val="1B262D26"/>
    <w:rsid w:val="1B2670F4"/>
    <w:rsid w:val="1B2D1E19"/>
    <w:rsid w:val="1B2D7FD6"/>
    <w:rsid w:val="1B3165F8"/>
    <w:rsid w:val="1B3607A6"/>
    <w:rsid w:val="1B3A5220"/>
    <w:rsid w:val="1B3B258E"/>
    <w:rsid w:val="1B652C95"/>
    <w:rsid w:val="1B70155F"/>
    <w:rsid w:val="1B723039"/>
    <w:rsid w:val="1B7700FA"/>
    <w:rsid w:val="1B894EBC"/>
    <w:rsid w:val="1B8C1172"/>
    <w:rsid w:val="1B9269B7"/>
    <w:rsid w:val="1BB12BB2"/>
    <w:rsid w:val="1BB50563"/>
    <w:rsid w:val="1BCB46BE"/>
    <w:rsid w:val="1BCE49E9"/>
    <w:rsid w:val="1BD12722"/>
    <w:rsid w:val="1BD15865"/>
    <w:rsid w:val="1BDC68CC"/>
    <w:rsid w:val="1BF55316"/>
    <w:rsid w:val="1BF73705"/>
    <w:rsid w:val="1BFE7E24"/>
    <w:rsid w:val="1C100B6A"/>
    <w:rsid w:val="1C1908BB"/>
    <w:rsid w:val="1C2075D6"/>
    <w:rsid w:val="1C2B6CB4"/>
    <w:rsid w:val="1C3774BA"/>
    <w:rsid w:val="1C3D55BC"/>
    <w:rsid w:val="1C4859F3"/>
    <w:rsid w:val="1C4E114E"/>
    <w:rsid w:val="1C5D5F8B"/>
    <w:rsid w:val="1C630441"/>
    <w:rsid w:val="1C6934B1"/>
    <w:rsid w:val="1C6E241C"/>
    <w:rsid w:val="1CB07DF9"/>
    <w:rsid w:val="1CB612AF"/>
    <w:rsid w:val="1CC3681B"/>
    <w:rsid w:val="1CF06AD2"/>
    <w:rsid w:val="1CF251D3"/>
    <w:rsid w:val="1CFF3217"/>
    <w:rsid w:val="1D01483C"/>
    <w:rsid w:val="1D0460DA"/>
    <w:rsid w:val="1D0C3E62"/>
    <w:rsid w:val="1D1D0D81"/>
    <w:rsid w:val="1D234DF0"/>
    <w:rsid w:val="1D35436C"/>
    <w:rsid w:val="1D3A1AFC"/>
    <w:rsid w:val="1D4B5AB7"/>
    <w:rsid w:val="1D546098"/>
    <w:rsid w:val="1D5801D4"/>
    <w:rsid w:val="1D5835F0"/>
    <w:rsid w:val="1D594678"/>
    <w:rsid w:val="1D8C5045"/>
    <w:rsid w:val="1D9244F8"/>
    <w:rsid w:val="1D931CEA"/>
    <w:rsid w:val="1D9C4E32"/>
    <w:rsid w:val="1DC177D9"/>
    <w:rsid w:val="1DDB508D"/>
    <w:rsid w:val="1DE81558"/>
    <w:rsid w:val="1E015E7F"/>
    <w:rsid w:val="1E1A236E"/>
    <w:rsid w:val="1E225BB3"/>
    <w:rsid w:val="1E2A6113"/>
    <w:rsid w:val="1E2D212B"/>
    <w:rsid w:val="1E2E6E13"/>
    <w:rsid w:val="1E32182A"/>
    <w:rsid w:val="1E454BFC"/>
    <w:rsid w:val="1E58492F"/>
    <w:rsid w:val="1E5A61EE"/>
    <w:rsid w:val="1E5D6F6E"/>
    <w:rsid w:val="1E6A55EE"/>
    <w:rsid w:val="1E713E2F"/>
    <w:rsid w:val="1E980FE4"/>
    <w:rsid w:val="1EA25BAA"/>
    <w:rsid w:val="1EA573D8"/>
    <w:rsid w:val="1EA77665"/>
    <w:rsid w:val="1EB0513B"/>
    <w:rsid w:val="1EB72F76"/>
    <w:rsid w:val="1EC05C79"/>
    <w:rsid w:val="1EC10726"/>
    <w:rsid w:val="1EC71AB5"/>
    <w:rsid w:val="1EE36B2C"/>
    <w:rsid w:val="1EF342CB"/>
    <w:rsid w:val="1EF87EC0"/>
    <w:rsid w:val="1F020A44"/>
    <w:rsid w:val="1F041BC7"/>
    <w:rsid w:val="1F127B09"/>
    <w:rsid w:val="1F132604"/>
    <w:rsid w:val="1F2354C8"/>
    <w:rsid w:val="1F2C3C4B"/>
    <w:rsid w:val="1F36160E"/>
    <w:rsid w:val="1F3F33F9"/>
    <w:rsid w:val="1F5D00BF"/>
    <w:rsid w:val="1F640255"/>
    <w:rsid w:val="1F671677"/>
    <w:rsid w:val="1F722047"/>
    <w:rsid w:val="1F8B3432"/>
    <w:rsid w:val="1F904945"/>
    <w:rsid w:val="1FA7625B"/>
    <w:rsid w:val="1FAA6A2E"/>
    <w:rsid w:val="1FB97650"/>
    <w:rsid w:val="1FBE07C2"/>
    <w:rsid w:val="1FC11059"/>
    <w:rsid w:val="1FD53D5E"/>
    <w:rsid w:val="1FDC7161"/>
    <w:rsid w:val="1FE570E2"/>
    <w:rsid w:val="1FE7673E"/>
    <w:rsid w:val="200E38F2"/>
    <w:rsid w:val="20174376"/>
    <w:rsid w:val="201E585F"/>
    <w:rsid w:val="2049266D"/>
    <w:rsid w:val="204F1D62"/>
    <w:rsid w:val="20534B67"/>
    <w:rsid w:val="20557DC5"/>
    <w:rsid w:val="205A5C16"/>
    <w:rsid w:val="205B7D6A"/>
    <w:rsid w:val="2061066F"/>
    <w:rsid w:val="207C33EE"/>
    <w:rsid w:val="207E5B72"/>
    <w:rsid w:val="207E6748"/>
    <w:rsid w:val="20804155"/>
    <w:rsid w:val="2081342E"/>
    <w:rsid w:val="20916A79"/>
    <w:rsid w:val="209740BF"/>
    <w:rsid w:val="2099242E"/>
    <w:rsid w:val="20B0411F"/>
    <w:rsid w:val="20B41BC5"/>
    <w:rsid w:val="20D658C9"/>
    <w:rsid w:val="20D95B5B"/>
    <w:rsid w:val="20DC2416"/>
    <w:rsid w:val="20DE6C42"/>
    <w:rsid w:val="20ED7FD0"/>
    <w:rsid w:val="20F22231"/>
    <w:rsid w:val="21015C26"/>
    <w:rsid w:val="21121083"/>
    <w:rsid w:val="211518DD"/>
    <w:rsid w:val="21224D81"/>
    <w:rsid w:val="212B2F31"/>
    <w:rsid w:val="21327DB2"/>
    <w:rsid w:val="213A06E6"/>
    <w:rsid w:val="213D6756"/>
    <w:rsid w:val="213D7BD8"/>
    <w:rsid w:val="214C4EC5"/>
    <w:rsid w:val="2153567F"/>
    <w:rsid w:val="21592826"/>
    <w:rsid w:val="215C64E4"/>
    <w:rsid w:val="217422B6"/>
    <w:rsid w:val="2188758A"/>
    <w:rsid w:val="219537A4"/>
    <w:rsid w:val="219C0FD7"/>
    <w:rsid w:val="21A5163A"/>
    <w:rsid w:val="21A61686"/>
    <w:rsid w:val="21B56BEB"/>
    <w:rsid w:val="21BC5E24"/>
    <w:rsid w:val="21C13A32"/>
    <w:rsid w:val="21CA7725"/>
    <w:rsid w:val="21CB5418"/>
    <w:rsid w:val="21E23A88"/>
    <w:rsid w:val="21EA7F94"/>
    <w:rsid w:val="2205196D"/>
    <w:rsid w:val="22270787"/>
    <w:rsid w:val="224D73DD"/>
    <w:rsid w:val="22592601"/>
    <w:rsid w:val="2259286B"/>
    <w:rsid w:val="22603DB2"/>
    <w:rsid w:val="226D7B83"/>
    <w:rsid w:val="2293123C"/>
    <w:rsid w:val="229E633A"/>
    <w:rsid w:val="22A570EC"/>
    <w:rsid w:val="22D569A0"/>
    <w:rsid w:val="230F1167"/>
    <w:rsid w:val="232E56FD"/>
    <w:rsid w:val="233F5F96"/>
    <w:rsid w:val="235A4CA6"/>
    <w:rsid w:val="235F4D23"/>
    <w:rsid w:val="236D4028"/>
    <w:rsid w:val="238A4DFC"/>
    <w:rsid w:val="23955CDE"/>
    <w:rsid w:val="23BD5235"/>
    <w:rsid w:val="240D7B39"/>
    <w:rsid w:val="24226CC5"/>
    <w:rsid w:val="24312A4A"/>
    <w:rsid w:val="244202F4"/>
    <w:rsid w:val="244A5E9A"/>
    <w:rsid w:val="244C4BB8"/>
    <w:rsid w:val="246851A0"/>
    <w:rsid w:val="24691193"/>
    <w:rsid w:val="246C3A46"/>
    <w:rsid w:val="247152E7"/>
    <w:rsid w:val="247E6772"/>
    <w:rsid w:val="24924B37"/>
    <w:rsid w:val="249E48F8"/>
    <w:rsid w:val="24B25E39"/>
    <w:rsid w:val="24B4630D"/>
    <w:rsid w:val="24C525F3"/>
    <w:rsid w:val="24E81288"/>
    <w:rsid w:val="24FF7718"/>
    <w:rsid w:val="25121C70"/>
    <w:rsid w:val="251A7612"/>
    <w:rsid w:val="25237A22"/>
    <w:rsid w:val="252E0774"/>
    <w:rsid w:val="25464730"/>
    <w:rsid w:val="25481BCE"/>
    <w:rsid w:val="254C2D14"/>
    <w:rsid w:val="255F65A3"/>
    <w:rsid w:val="256E1E26"/>
    <w:rsid w:val="25787665"/>
    <w:rsid w:val="25812F8D"/>
    <w:rsid w:val="25814DB7"/>
    <w:rsid w:val="25824959"/>
    <w:rsid w:val="25902676"/>
    <w:rsid w:val="25987A23"/>
    <w:rsid w:val="25BC160E"/>
    <w:rsid w:val="25BC46FF"/>
    <w:rsid w:val="25C517A2"/>
    <w:rsid w:val="25EF41EA"/>
    <w:rsid w:val="25F5789E"/>
    <w:rsid w:val="25FD6A72"/>
    <w:rsid w:val="2608561B"/>
    <w:rsid w:val="26196938"/>
    <w:rsid w:val="261B3491"/>
    <w:rsid w:val="26261861"/>
    <w:rsid w:val="26301CEE"/>
    <w:rsid w:val="26382AAC"/>
    <w:rsid w:val="264F6BBB"/>
    <w:rsid w:val="26506FAD"/>
    <w:rsid w:val="2657371E"/>
    <w:rsid w:val="26655E3B"/>
    <w:rsid w:val="26656277"/>
    <w:rsid w:val="26663117"/>
    <w:rsid w:val="266F4F92"/>
    <w:rsid w:val="267771CA"/>
    <w:rsid w:val="267B5AC6"/>
    <w:rsid w:val="26807144"/>
    <w:rsid w:val="26851ABB"/>
    <w:rsid w:val="268A362E"/>
    <w:rsid w:val="269560EE"/>
    <w:rsid w:val="26AF686C"/>
    <w:rsid w:val="26CA60FC"/>
    <w:rsid w:val="26D16018"/>
    <w:rsid w:val="26DB3228"/>
    <w:rsid w:val="26DF6074"/>
    <w:rsid w:val="26E05716"/>
    <w:rsid w:val="26E31456"/>
    <w:rsid w:val="26F558DA"/>
    <w:rsid w:val="26FE679C"/>
    <w:rsid w:val="270A0093"/>
    <w:rsid w:val="27135B8A"/>
    <w:rsid w:val="27301EDB"/>
    <w:rsid w:val="27453115"/>
    <w:rsid w:val="276500BD"/>
    <w:rsid w:val="276C029F"/>
    <w:rsid w:val="277B168E"/>
    <w:rsid w:val="27867E0A"/>
    <w:rsid w:val="27871DE1"/>
    <w:rsid w:val="27982DD4"/>
    <w:rsid w:val="27C84853"/>
    <w:rsid w:val="27CA2623"/>
    <w:rsid w:val="27DD09CE"/>
    <w:rsid w:val="27E965F8"/>
    <w:rsid w:val="27EC553C"/>
    <w:rsid w:val="27FD02F5"/>
    <w:rsid w:val="280C4BFC"/>
    <w:rsid w:val="2813394B"/>
    <w:rsid w:val="2815563F"/>
    <w:rsid w:val="281C1F63"/>
    <w:rsid w:val="281C54D8"/>
    <w:rsid w:val="283610D5"/>
    <w:rsid w:val="28523AB6"/>
    <w:rsid w:val="285F5293"/>
    <w:rsid w:val="28622D71"/>
    <w:rsid w:val="286A3DDE"/>
    <w:rsid w:val="286E69FD"/>
    <w:rsid w:val="28740524"/>
    <w:rsid w:val="28A10C81"/>
    <w:rsid w:val="28B83236"/>
    <w:rsid w:val="28C56178"/>
    <w:rsid w:val="28D41056"/>
    <w:rsid w:val="28DA521F"/>
    <w:rsid w:val="28FA546B"/>
    <w:rsid w:val="28FE025E"/>
    <w:rsid w:val="290165BA"/>
    <w:rsid w:val="290F02E0"/>
    <w:rsid w:val="29245F1A"/>
    <w:rsid w:val="29366359"/>
    <w:rsid w:val="293D4E4D"/>
    <w:rsid w:val="294066EC"/>
    <w:rsid w:val="29586D7A"/>
    <w:rsid w:val="29772B51"/>
    <w:rsid w:val="29791894"/>
    <w:rsid w:val="29836AE4"/>
    <w:rsid w:val="2984235F"/>
    <w:rsid w:val="2984482A"/>
    <w:rsid w:val="29891E41"/>
    <w:rsid w:val="29967FD2"/>
    <w:rsid w:val="29A52D8F"/>
    <w:rsid w:val="29A948BE"/>
    <w:rsid w:val="29C56C3A"/>
    <w:rsid w:val="29D85278"/>
    <w:rsid w:val="29E1380C"/>
    <w:rsid w:val="29E277A3"/>
    <w:rsid w:val="29E85046"/>
    <w:rsid w:val="2A017BFD"/>
    <w:rsid w:val="2A0A71F8"/>
    <w:rsid w:val="2A1B62D1"/>
    <w:rsid w:val="2A4913A2"/>
    <w:rsid w:val="2A6E6670"/>
    <w:rsid w:val="2A7A1DC4"/>
    <w:rsid w:val="2A8F3B49"/>
    <w:rsid w:val="2A8F792B"/>
    <w:rsid w:val="2A9154D8"/>
    <w:rsid w:val="2AA04C57"/>
    <w:rsid w:val="2ACB46DB"/>
    <w:rsid w:val="2AD750C3"/>
    <w:rsid w:val="2AE77D08"/>
    <w:rsid w:val="2AEA3011"/>
    <w:rsid w:val="2AFA0B1C"/>
    <w:rsid w:val="2B252D72"/>
    <w:rsid w:val="2B323E4B"/>
    <w:rsid w:val="2B3E0375"/>
    <w:rsid w:val="2B492499"/>
    <w:rsid w:val="2B652A8D"/>
    <w:rsid w:val="2B6C55DB"/>
    <w:rsid w:val="2B7E174D"/>
    <w:rsid w:val="2B82123D"/>
    <w:rsid w:val="2B8D5640"/>
    <w:rsid w:val="2BAA2FC9"/>
    <w:rsid w:val="2BB60EE7"/>
    <w:rsid w:val="2BC075E5"/>
    <w:rsid w:val="2BD96984"/>
    <w:rsid w:val="2BE152C7"/>
    <w:rsid w:val="2BEB6DE3"/>
    <w:rsid w:val="2BF4029C"/>
    <w:rsid w:val="2C1C6937"/>
    <w:rsid w:val="2C1E3C6A"/>
    <w:rsid w:val="2C202757"/>
    <w:rsid w:val="2C270D43"/>
    <w:rsid w:val="2C5028B1"/>
    <w:rsid w:val="2C6436A6"/>
    <w:rsid w:val="2C7A2A8F"/>
    <w:rsid w:val="2C9023A5"/>
    <w:rsid w:val="2C937549"/>
    <w:rsid w:val="2C942281"/>
    <w:rsid w:val="2C9D6A04"/>
    <w:rsid w:val="2CA174A1"/>
    <w:rsid w:val="2CA80956"/>
    <w:rsid w:val="2CA927FA"/>
    <w:rsid w:val="2CAD4098"/>
    <w:rsid w:val="2CB01DDA"/>
    <w:rsid w:val="2CB62598"/>
    <w:rsid w:val="2CBC136A"/>
    <w:rsid w:val="2CCE2260"/>
    <w:rsid w:val="2CD23AFF"/>
    <w:rsid w:val="2CD47877"/>
    <w:rsid w:val="2CD755B9"/>
    <w:rsid w:val="2CED26E7"/>
    <w:rsid w:val="2CF070E3"/>
    <w:rsid w:val="2CFE607B"/>
    <w:rsid w:val="2D095409"/>
    <w:rsid w:val="2D0F6B01"/>
    <w:rsid w:val="2D1C4D7A"/>
    <w:rsid w:val="2D1E755B"/>
    <w:rsid w:val="2D3A3199"/>
    <w:rsid w:val="2D483B07"/>
    <w:rsid w:val="2D4B38E7"/>
    <w:rsid w:val="2D502C75"/>
    <w:rsid w:val="2D5470D9"/>
    <w:rsid w:val="2D551303"/>
    <w:rsid w:val="2D5664DE"/>
    <w:rsid w:val="2D5A7416"/>
    <w:rsid w:val="2D772574"/>
    <w:rsid w:val="2D80355B"/>
    <w:rsid w:val="2D8D31B7"/>
    <w:rsid w:val="2D8D5835"/>
    <w:rsid w:val="2D957F46"/>
    <w:rsid w:val="2DAB1C25"/>
    <w:rsid w:val="2DB72CF5"/>
    <w:rsid w:val="2DCC12FC"/>
    <w:rsid w:val="2DD66E3A"/>
    <w:rsid w:val="2DF17D73"/>
    <w:rsid w:val="2E165C6D"/>
    <w:rsid w:val="2E1B7727"/>
    <w:rsid w:val="2E255EB0"/>
    <w:rsid w:val="2E482E0D"/>
    <w:rsid w:val="2E4F7F14"/>
    <w:rsid w:val="2E5A0250"/>
    <w:rsid w:val="2E5A7823"/>
    <w:rsid w:val="2E5F7614"/>
    <w:rsid w:val="2E652B8E"/>
    <w:rsid w:val="2E66167A"/>
    <w:rsid w:val="2E6C7EF1"/>
    <w:rsid w:val="2E6D69DB"/>
    <w:rsid w:val="2E6F6584"/>
    <w:rsid w:val="2E7823B0"/>
    <w:rsid w:val="2E933BCE"/>
    <w:rsid w:val="2E976DAE"/>
    <w:rsid w:val="2E9B6172"/>
    <w:rsid w:val="2E9C6490"/>
    <w:rsid w:val="2EA109C3"/>
    <w:rsid w:val="2EA40069"/>
    <w:rsid w:val="2EA9088F"/>
    <w:rsid w:val="2EAA3B87"/>
    <w:rsid w:val="2EB66E96"/>
    <w:rsid w:val="2EBC23A0"/>
    <w:rsid w:val="2EFA0191"/>
    <w:rsid w:val="2F3565C7"/>
    <w:rsid w:val="2F3E191F"/>
    <w:rsid w:val="2F436846"/>
    <w:rsid w:val="2F4556CE"/>
    <w:rsid w:val="2F5A53CE"/>
    <w:rsid w:val="2F6F3C93"/>
    <w:rsid w:val="2F754A27"/>
    <w:rsid w:val="2F8135BA"/>
    <w:rsid w:val="2FB1448A"/>
    <w:rsid w:val="2FC802AE"/>
    <w:rsid w:val="2FCC29AF"/>
    <w:rsid w:val="2FCC2A87"/>
    <w:rsid w:val="30030473"/>
    <w:rsid w:val="301C41BF"/>
    <w:rsid w:val="301D7D6A"/>
    <w:rsid w:val="302369A0"/>
    <w:rsid w:val="303474C0"/>
    <w:rsid w:val="305C41A9"/>
    <w:rsid w:val="307C26FF"/>
    <w:rsid w:val="30820205"/>
    <w:rsid w:val="308E41B5"/>
    <w:rsid w:val="30952C59"/>
    <w:rsid w:val="30B5176D"/>
    <w:rsid w:val="30D05D96"/>
    <w:rsid w:val="30FF4D69"/>
    <w:rsid w:val="310E5321"/>
    <w:rsid w:val="3113559B"/>
    <w:rsid w:val="311978DB"/>
    <w:rsid w:val="312421F6"/>
    <w:rsid w:val="3127420C"/>
    <w:rsid w:val="31477BEB"/>
    <w:rsid w:val="315216B2"/>
    <w:rsid w:val="315523B1"/>
    <w:rsid w:val="3198056E"/>
    <w:rsid w:val="31A00DEF"/>
    <w:rsid w:val="31CD31BF"/>
    <w:rsid w:val="31D72AD0"/>
    <w:rsid w:val="31E10F55"/>
    <w:rsid w:val="31F664E1"/>
    <w:rsid w:val="31FE5396"/>
    <w:rsid w:val="320B7F80"/>
    <w:rsid w:val="3219008D"/>
    <w:rsid w:val="321D581C"/>
    <w:rsid w:val="32215B79"/>
    <w:rsid w:val="322241F2"/>
    <w:rsid w:val="3229379D"/>
    <w:rsid w:val="32294133"/>
    <w:rsid w:val="322D5AFA"/>
    <w:rsid w:val="324F79A0"/>
    <w:rsid w:val="32514C44"/>
    <w:rsid w:val="32615332"/>
    <w:rsid w:val="326C67A3"/>
    <w:rsid w:val="32713DBA"/>
    <w:rsid w:val="32867865"/>
    <w:rsid w:val="328916BE"/>
    <w:rsid w:val="32974C7A"/>
    <w:rsid w:val="32A0797E"/>
    <w:rsid w:val="32B23857"/>
    <w:rsid w:val="32B75C71"/>
    <w:rsid w:val="32BB4ABE"/>
    <w:rsid w:val="32C24615"/>
    <w:rsid w:val="32C8549C"/>
    <w:rsid w:val="32CA16D9"/>
    <w:rsid w:val="32DA54BB"/>
    <w:rsid w:val="32E83928"/>
    <w:rsid w:val="32F45590"/>
    <w:rsid w:val="331C19F3"/>
    <w:rsid w:val="331F55C4"/>
    <w:rsid w:val="33240E2C"/>
    <w:rsid w:val="33380434"/>
    <w:rsid w:val="334C6C58"/>
    <w:rsid w:val="33577373"/>
    <w:rsid w:val="336A419B"/>
    <w:rsid w:val="336A59CC"/>
    <w:rsid w:val="336D61B2"/>
    <w:rsid w:val="33773188"/>
    <w:rsid w:val="337E77C9"/>
    <w:rsid w:val="338F53C2"/>
    <w:rsid w:val="33925662"/>
    <w:rsid w:val="339B7AA1"/>
    <w:rsid w:val="33B71CA0"/>
    <w:rsid w:val="33B7637D"/>
    <w:rsid w:val="33C5616B"/>
    <w:rsid w:val="33CF2056"/>
    <w:rsid w:val="33D4661F"/>
    <w:rsid w:val="33ED39C2"/>
    <w:rsid w:val="3402309A"/>
    <w:rsid w:val="340F56DE"/>
    <w:rsid w:val="342235BE"/>
    <w:rsid w:val="3425597D"/>
    <w:rsid w:val="342804A8"/>
    <w:rsid w:val="342A5DF5"/>
    <w:rsid w:val="34331D5F"/>
    <w:rsid w:val="343819DA"/>
    <w:rsid w:val="344851FD"/>
    <w:rsid w:val="346A0AC1"/>
    <w:rsid w:val="34993CA2"/>
    <w:rsid w:val="349B5E0E"/>
    <w:rsid w:val="34A432B6"/>
    <w:rsid w:val="34AA020B"/>
    <w:rsid w:val="34B451A4"/>
    <w:rsid w:val="34B66335"/>
    <w:rsid w:val="34BC17DA"/>
    <w:rsid w:val="34C77CC1"/>
    <w:rsid w:val="34D015E3"/>
    <w:rsid w:val="34DA3E98"/>
    <w:rsid w:val="34DA5C46"/>
    <w:rsid w:val="34F85DA8"/>
    <w:rsid w:val="3509398E"/>
    <w:rsid w:val="350C1B78"/>
    <w:rsid w:val="35134CB4"/>
    <w:rsid w:val="3524459F"/>
    <w:rsid w:val="3547266B"/>
    <w:rsid w:val="35496928"/>
    <w:rsid w:val="3554479E"/>
    <w:rsid w:val="35610116"/>
    <w:rsid w:val="356B6A1A"/>
    <w:rsid w:val="357A3162"/>
    <w:rsid w:val="357D63E5"/>
    <w:rsid w:val="357E0BE0"/>
    <w:rsid w:val="357F00D0"/>
    <w:rsid w:val="35803742"/>
    <w:rsid w:val="35894506"/>
    <w:rsid w:val="35973B37"/>
    <w:rsid w:val="35A377DB"/>
    <w:rsid w:val="35D46B3A"/>
    <w:rsid w:val="35DA3A24"/>
    <w:rsid w:val="35E1407C"/>
    <w:rsid w:val="35E7387F"/>
    <w:rsid w:val="35E81F7A"/>
    <w:rsid w:val="35EF4AF5"/>
    <w:rsid w:val="35F52BF3"/>
    <w:rsid w:val="360530D8"/>
    <w:rsid w:val="3605698A"/>
    <w:rsid w:val="36162F1C"/>
    <w:rsid w:val="362A49AB"/>
    <w:rsid w:val="363277D2"/>
    <w:rsid w:val="365E4655"/>
    <w:rsid w:val="366244D5"/>
    <w:rsid w:val="368045CB"/>
    <w:rsid w:val="36805ABB"/>
    <w:rsid w:val="36851BE2"/>
    <w:rsid w:val="36A75FFC"/>
    <w:rsid w:val="36A82C1D"/>
    <w:rsid w:val="36B34449"/>
    <w:rsid w:val="36C20165"/>
    <w:rsid w:val="36C342D9"/>
    <w:rsid w:val="36E560FC"/>
    <w:rsid w:val="370074BA"/>
    <w:rsid w:val="37052D23"/>
    <w:rsid w:val="370F2E93"/>
    <w:rsid w:val="370F32ED"/>
    <w:rsid w:val="372D30A2"/>
    <w:rsid w:val="372F1B4E"/>
    <w:rsid w:val="374A5928"/>
    <w:rsid w:val="374E35E0"/>
    <w:rsid w:val="37560CC6"/>
    <w:rsid w:val="37731F43"/>
    <w:rsid w:val="377C2FE5"/>
    <w:rsid w:val="378C0D4E"/>
    <w:rsid w:val="378D0CEB"/>
    <w:rsid w:val="378D4552"/>
    <w:rsid w:val="37940B89"/>
    <w:rsid w:val="379A026D"/>
    <w:rsid w:val="37A2207E"/>
    <w:rsid w:val="37A2434F"/>
    <w:rsid w:val="37B160EC"/>
    <w:rsid w:val="37C302B3"/>
    <w:rsid w:val="37DC1CD5"/>
    <w:rsid w:val="37ED6D6E"/>
    <w:rsid w:val="37FB65FF"/>
    <w:rsid w:val="380C3B20"/>
    <w:rsid w:val="381039F4"/>
    <w:rsid w:val="381B27FE"/>
    <w:rsid w:val="381D0E63"/>
    <w:rsid w:val="38206066"/>
    <w:rsid w:val="382065A7"/>
    <w:rsid w:val="38422CE2"/>
    <w:rsid w:val="38464281"/>
    <w:rsid w:val="386B4E07"/>
    <w:rsid w:val="386E21B0"/>
    <w:rsid w:val="388D4D7E"/>
    <w:rsid w:val="38975BFC"/>
    <w:rsid w:val="38A5656B"/>
    <w:rsid w:val="38A94911"/>
    <w:rsid w:val="38AE496C"/>
    <w:rsid w:val="38B54D45"/>
    <w:rsid w:val="38C74734"/>
    <w:rsid w:val="38D242CD"/>
    <w:rsid w:val="38D961FA"/>
    <w:rsid w:val="390414E4"/>
    <w:rsid w:val="3914608F"/>
    <w:rsid w:val="39296809"/>
    <w:rsid w:val="392E6561"/>
    <w:rsid w:val="393B38EF"/>
    <w:rsid w:val="393E0C7A"/>
    <w:rsid w:val="39470BCD"/>
    <w:rsid w:val="39663F4D"/>
    <w:rsid w:val="397B716D"/>
    <w:rsid w:val="39821F75"/>
    <w:rsid w:val="39882115"/>
    <w:rsid w:val="398B5520"/>
    <w:rsid w:val="398C3DB7"/>
    <w:rsid w:val="39916AF0"/>
    <w:rsid w:val="39932868"/>
    <w:rsid w:val="399E647D"/>
    <w:rsid w:val="39AB6275"/>
    <w:rsid w:val="39B32692"/>
    <w:rsid w:val="39CB3B9A"/>
    <w:rsid w:val="39E17621"/>
    <w:rsid w:val="39E44E71"/>
    <w:rsid w:val="39F227B1"/>
    <w:rsid w:val="3A002A5F"/>
    <w:rsid w:val="3A0D261A"/>
    <w:rsid w:val="3A142258"/>
    <w:rsid w:val="3A151290"/>
    <w:rsid w:val="3A201663"/>
    <w:rsid w:val="3A257964"/>
    <w:rsid w:val="3A292038"/>
    <w:rsid w:val="3A3712E8"/>
    <w:rsid w:val="3A3A2CE3"/>
    <w:rsid w:val="3A4A1178"/>
    <w:rsid w:val="3A4D181F"/>
    <w:rsid w:val="3A524E6B"/>
    <w:rsid w:val="3A5C70FE"/>
    <w:rsid w:val="3A695377"/>
    <w:rsid w:val="3A762A49"/>
    <w:rsid w:val="3A7C154E"/>
    <w:rsid w:val="3A826354"/>
    <w:rsid w:val="3A8522B8"/>
    <w:rsid w:val="3A8F1281"/>
    <w:rsid w:val="3A914FF9"/>
    <w:rsid w:val="3A9D28F5"/>
    <w:rsid w:val="3AAA60BB"/>
    <w:rsid w:val="3AC54CA3"/>
    <w:rsid w:val="3ACD43C9"/>
    <w:rsid w:val="3AEE2C6F"/>
    <w:rsid w:val="3AF47336"/>
    <w:rsid w:val="3AFF2C64"/>
    <w:rsid w:val="3B010619"/>
    <w:rsid w:val="3B135A0E"/>
    <w:rsid w:val="3B2F69DB"/>
    <w:rsid w:val="3B40257B"/>
    <w:rsid w:val="3B6049CB"/>
    <w:rsid w:val="3B667011"/>
    <w:rsid w:val="3B79226F"/>
    <w:rsid w:val="3B794BCF"/>
    <w:rsid w:val="3B8004C1"/>
    <w:rsid w:val="3B81506E"/>
    <w:rsid w:val="3B8561E0"/>
    <w:rsid w:val="3B8F1138"/>
    <w:rsid w:val="3B904834"/>
    <w:rsid w:val="3B932344"/>
    <w:rsid w:val="3B9D20F5"/>
    <w:rsid w:val="3B9F72A2"/>
    <w:rsid w:val="3BA76467"/>
    <w:rsid w:val="3BB33F88"/>
    <w:rsid w:val="3BC15D34"/>
    <w:rsid w:val="3BD93153"/>
    <w:rsid w:val="3BDA6996"/>
    <w:rsid w:val="3C0A3047"/>
    <w:rsid w:val="3C26744A"/>
    <w:rsid w:val="3C2E50FB"/>
    <w:rsid w:val="3C300842"/>
    <w:rsid w:val="3C37637A"/>
    <w:rsid w:val="3C4542ED"/>
    <w:rsid w:val="3C4A12AD"/>
    <w:rsid w:val="3C5125FC"/>
    <w:rsid w:val="3C690ECB"/>
    <w:rsid w:val="3C720E5A"/>
    <w:rsid w:val="3C7921E9"/>
    <w:rsid w:val="3C7F70D3"/>
    <w:rsid w:val="3C850B8E"/>
    <w:rsid w:val="3C860AC6"/>
    <w:rsid w:val="3C8967A4"/>
    <w:rsid w:val="3C960BC8"/>
    <w:rsid w:val="3C9848A1"/>
    <w:rsid w:val="3C991F43"/>
    <w:rsid w:val="3CA323DC"/>
    <w:rsid w:val="3CA509B7"/>
    <w:rsid w:val="3CA509D1"/>
    <w:rsid w:val="3CD537E6"/>
    <w:rsid w:val="3CD93879"/>
    <w:rsid w:val="3CE75508"/>
    <w:rsid w:val="3CF7310E"/>
    <w:rsid w:val="3CF85B73"/>
    <w:rsid w:val="3D2571D3"/>
    <w:rsid w:val="3D2959BD"/>
    <w:rsid w:val="3D2E50CA"/>
    <w:rsid w:val="3D3954D4"/>
    <w:rsid w:val="3D624A2B"/>
    <w:rsid w:val="3D7A2818"/>
    <w:rsid w:val="3D8106EA"/>
    <w:rsid w:val="3D834DF8"/>
    <w:rsid w:val="3D9077EA"/>
    <w:rsid w:val="3DA352B1"/>
    <w:rsid w:val="3DAE7C70"/>
    <w:rsid w:val="3DBA61E7"/>
    <w:rsid w:val="3DC12D0A"/>
    <w:rsid w:val="3DC14624"/>
    <w:rsid w:val="3DD55956"/>
    <w:rsid w:val="3DFF4B6F"/>
    <w:rsid w:val="3E100FFC"/>
    <w:rsid w:val="3E175815"/>
    <w:rsid w:val="3E201534"/>
    <w:rsid w:val="3E3363C7"/>
    <w:rsid w:val="3E651EE9"/>
    <w:rsid w:val="3E784A78"/>
    <w:rsid w:val="3E787F4E"/>
    <w:rsid w:val="3E8554F5"/>
    <w:rsid w:val="3E8D171A"/>
    <w:rsid w:val="3E993D72"/>
    <w:rsid w:val="3EA10027"/>
    <w:rsid w:val="3EA42E21"/>
    <w:rsid w:val="3EB47508"/>
    <w:rsid w:val="3EB65E71"/>
    <w:rsid w:val="3EC314F9"/>
    <w:rsid w:val="3EC33032"/>
    <w:rsid w:val="3EC61DB3"/>
    <w:rsid w:val="3EE33056"/>
    <w:rsid w:val="3EF47905"/>
    <w:rsid w:val="3EF62661"/>
    <w:rsid w:val="3F3C595E"/>
    <w:rsid w:val="3F59346C"/>
    <w:rsid w:val="3F657308"/>
    <w:rsid w:val="3F685210"/>
    <w:rsid w:val="3F731171"/>
    <w:rsid w:val="3F732F1F"/>
    <w:rsid w:val="3F7856B5"/>
    <w:rsid w:val="3F7970EE"/>
    <w:rsid w:val="3F7C4554"/>
    <w:rsid w:val="3F8003ED"/>
    <w:rsid w:val="3F8B5F41"/>
    <w:rsid w:val="3F902B34"/>
    <w:rsid w:val="3F9F42C5"/>
    <w:rsid w:val="3FAA4467"/>
    <w:rsid w:val="3FB13A48"/>
    <w:rsid w:val="3FC519F7"/>
    <w:rsid w:val="3FD0326B"/>
    <w:rsid w:val="3FD34D1A"/>
    <w:rsid w:val="3FE03B95"/>
    <w:rsid w:val="3FED63B1"/>
    <w:rsid w:val="40031733"/>
    <w:rsid w:val="40076D3D"/>
    <w:rsid w:val="400C6ED0"/>
    <w:rsid w:val="400F3658"/>
    <w:rsid w:val="40112738"/>
    <w:rsid w:val="401F65F0"/>
    <w:rsid w:val="402B37FA"/>
    <w:rsid w:val="4033445D"/>
    <w:rsid w:val="404228F2"/>
    <w:rsid w:val="404470DB"/>
    <w:rsid w:val="40464190"/>
    <w:rsid w:val="40477F08"/>
    <w:rsid w:val="404C2292"/>
    <w:rsid w:val="405D572D"/>
    <w:rsid w:val="40860A30"/>
    <w:rsid w:val="40880C4C"/>
    <w:rsid w:val="408D0011"/>
    <w:rsid w:val="408D1EA0"/>
    <w:rsid w:val="408E2DBF"/>
    <w:rsid w:val="40955117"/>
    <w:rsid w:val="409D2A1A"/>
    <w:rsid w:val="40A752D1"/>
    <w:rsid w:val="40B21FB5"/>
    <w:rsid w:val="40B95E2E"/>
    <w:rsid w:val="40C17F9E"/>
    <w:rsid w:val="40C43B66"/>
    <w:rsid w:val="40D93256"/>
    <w:rsid w:val="40E247F7"/>
    <w:rsid w:val="40E4613E"/>
    <w:rsid w:val="40EE5966"/>
    <w:rsid w:val="410F1967"/>
    <w:rsid w:val="41130294"/>
    <w:rsid w:val="41182A7C"/>
    <w:rsid w:val="41335FC7"/>
    <w:rsid w:val="413E130B"/>
    <w:rsid w:val="414D59F2"/>
    <w:rsid w:val="41596145"/>
    <w:rsid w:val="415978C8"/>
    <w:rsid w:val="415C1B4D"/>
    <w:rsid w:val="415E375B"/>
    <w:rsid w:val="415E6829"/>
    <w:rsid w:val="41670862"/>
    <w:rsid w:val="41761D35"/>
    <w:rsid w:val="417843F2"/>
    <w:rsid w:val="41807B75"/>
    <w:rsid w:val="41864563"/>
    <w:rsid w:val="418A1799"/>
    <w:rsid w:val="41A61C3F"/>
    <w:rsid w:val="41B17185"/>
    <w:rsid w:val="41C40721"/>
    <w:rsid w:val="41C45CB4"/>
    <w:rsid w:val="41DB6A6F"/>
    <w:rsid w:val="41EC6DB7"/>
    <w:rsid w:val="41F05895"/>
    <w:rsid w:val="420A5691"/>
    <w:rsid w:val="420C70DA"/>
    <w:rsid w:val="420F4A55"/>
    <w:rsid w:val="42156510"/>
    <w:rsid w:val="4226611D"/>
    <w:rsid w:val="424C5CAA"/>
    <w:rsid w:val="425402BB"/>
    <w:rsid w:val="425608D6"/>
    <w:rsid w:val="42564ADA"/>
    <w:rsid w:val="425D6E2C"/>
    <w:rsid w:val="425D7EB7"/>
    <w:rsid w:val="426E4414"/>
    <w:rsid w:val="42747A95"/>
    <w:rsid w:val="427E52C8"/>
    <w:rsid w:val="428A24E6"/>
    <w:rsid w:val="429D02B3"/>
    <w:rsid w:val="42D02437"/>
    <w:rsid w:val="42FA6BD0"/>
    <w:rsid w:val="42FB4E01"/>
    <w:rsid w:val="4301585B"/>
    <w:rsid w:val="431B31A4"/>
    <w:rsid w:val="43325808"/>
    <w:rsid w:val="433E1CAF"/>
    <w:rsid w:val="43412297"/>
    <w:rsid w:val="43413ED4"/>
    <w:rsid w:val="434C1AB7"/>
    <w:rsid w:val="43560B8E"/>
    <w:rsid w:val="43594499"/>
    <w:rsid w:val="435E7A42"/>
    <w:rsid w:val="43636C3F"/>
    <w:rsid w:val="436E5353"/>
    <w:rsid w:val="438073DF"/>
    <w:rsid w:val="43972F54"/>
    <w:rsid w:val="439D6340"/>
    <w:rsid w:val="43A90F98"/>
    <w:rsid w:val="43AB7C4E"/>
    <w:rsid w:val="43B753A5"/>
    <w:rsid w:val="43FB7987"/>
    <w:rsid w:val="43FD7280"/>
    <w:rsid w:val="44044A8E"/>
    <w:rsid w:val="441532B2"/>
    <w:rsid w:val="4416715A"/>
    <w:rsid w:val="441C5686"/>
    <w:rsid w:val="441E55BD"/>
    <w:rsid w:val="442C59F4"/>
    <w:rsid w:val="442C5CE7"/>
    <w:rsid w:val="443F7EE3"/>
    <w:rsid w:val="44477A7A"/>
    <w:rsid w:val="44501A81"/>
    <w:rsid w:val="44564BBE"/>
    <w:rsid w:val="445A5900"/>
    <w:rsid w:val="446A440B"/>
    <w:rsid w:val="44831552"/>
    <w:rsid w:val="4488746D"/>
    <w:rsid w:val="44912DD9"/>
    <w:rsid w:val="44A72CB4"/>
    <w:rsid w:val="44DC0CFE"/>
    <w:rsid w:val="44DC4FCA"/>
    <w:rsid w:val="44FC7513"/>
    <w:rsid w:val="44FD1C6D"/>
    <w:rsid w:val="451E392D"/>
    <w:rsid w:val="45245377"/>
    <w:rsid w:val="453F207E"/>
    <w:rsid w:val="454276A8"/>
    <w:rsid w:val="454513E5"/>
    <w:rsid w:val="45465AD9"/>
    <w:rsid w:val="45552589"/>
    <w:rsid w:val="457C4AF8"/>
    <w:rsid w:val="458759CA"/>
    <w:rsid w:val="45A100BA"/>
    <w:rsid w:val="45A1630C"/>
    <w:rsid w:val="45A31600"/>
    <w:rsid w:val="45A51959"/>
    <w:rsid w:val="45C344D5"/>
    <w:rsid w:val="45E526C2"/>
    <w:rsid w:val="45E81B6F"/>
    <w:rsid w:val="45EC57D9"/>
    <w:rsid w:val="45EF5694"/>
    <w:rsid w:val="45F32D75"/>
    <w:rsid w:val="45FE4441"/>
    <w:rsid w:val="460934CE"/>
    <w:rsid w:val="46170632"/>
    <w:rsid w:val="461F685B"/>
    <w:rsid w:val="463A35BA"/>
    <w:rsid w:val="464078D3"/>
    <w:rsid w:val="464478D6"/>
    <w:rsid w:val="4658048C"/>
    <w:rsid w:val="46594972"/>
    <w:rsid w:val="466640DD"/>
    <w:rsid w:val="466C691A"/>
    <w:rsid w:val="46763AFA"/>
    <w:rsid w:val="46A86AC5"/>
    <w:rsid w:val="46AF0ACC"/>
    <w:rsid w:val="46B1257F"/>
    <w:rsid w:val="46BA7686"/>
    <w:rsid w:val="46C04C25"/>
    <w:rsid w:val="46CB3641"/>
    <w:rsid w:val="46CD2EA3"/>
    <w:rsid w:val="46E33C2A"/>
    <w:rsid w:val="46EB5C2E"/>
    <w:rsid w:val="47044DA5"/>
    <w:rsid w:val="47177C71"/>
    <w:rsid w:val="47191F43"/>
    <w:rsid w:val="471B210D"/>
    <w:rsid w:val="47330BB1"/>
    <w:rsid w:val="47413903"/>
    <w:rsid w:val="474340E1"/>
    <w:rsid w:val="4754737E"/>
    <w:rsid w:val="476E5DEA"/>
    <w:rsid w:val="478D50EB"/>
    <w:rsid w:val="47914A33"/>
    <w:rsid w:val="47947ED7"/>
    <w:rsid w:val="4796076C"/>
    <w:rsid w:val="479B0044"/>
    <w:rsid w:val="479C10BC"/>
    <w:rsid w:val="47A4380D"/>
    <w:rsid w:val="47A6297A"/>
    <w:rsid w:val="47B35BF8"/>
    <w:rsid w:val="47B642F1"/>
    <w:rsid w:val="47BA2C79"/>
    <w:rsid w:val="47C01A50"/>
    <w:rsid w:val="47C041C7"/>
    <w:rsid w:val="47CB4E60"/>
    <w:rsid w:val="47CD1E0C"/>
    <w:rsid w:val="47D71C0C"/>
    <w:rsid w:val="47D964DB"/>
    <w:rsid w:val="47EF335F"/>
    <w:rsid w:val="47F72214"/>
    <w:rsid w:val="47FC33A5"/>
    <w:rsid w:val="48012A31"/>
    <w:rsid w:val="481D4366"/>
    <w:rsid w:val="485803F1"/>
    <w:rsid w:val="485E2C28"/>
    <w:rsid w:val="4865215C"/>
    <w:rsid w:val="486942C4"/>
    <w:rsid w:val="487B552A"/>
    <w:rsid w:val="48842F37"/>
    <w:rsid w:val="488B752C"/>
    <w:rsid w:val="48A34F21"/>
    <w:rsid w:val="48B05292"/>
    <w:rsid w:val="48B971DC"/>
    <w:rsid w:val="48F556EA"/>
    <w:rsid w:val="490B241B"/>
    <w:rsid w:val="491946D3"/>
    <w:rsid w:val="4922747B"/>
    <w:rsid w:val="4924047E"/>
    <w:rsid w:val="49276380"/>
    <w:rsid w:val="49441489"/>
    <w:rsid w:val="49470D20"/>
    <w:rsid w:val="4948117F"/>
    <w:rsid w:val="494B0B0D"/>
    <w:rsid w:val="49553696"/>
    <w:rsid w:val="49757894"/>
    <w:rsid w:val="497E20AD"/>
    <w:rsid w:val="49820EB7"/>
    <w:rsid w:val="499416E9"/>
    <w:rsid w:val="49A63EAD"/>
    <w:rsid w:val="49B4166E"/>
    <w:rsid w:val="49BA2C9E"/>
    <w:rsid w:val="49BC3715"/>
    <w:rsid w:val="49C56A6D"/>
    <w:rsid w:val="49CC07F8"/>
    <w:rsid w:val="49D26E8C"/>
    <w:rsid w:val="49ED0155"/>
    <w:rsid w:val="49F72310"/>
    <w:rsid w:val="49F96717"/>
    <w:rsid w:val="49FD2EE4"/>
    <w:rsid w:val="49FE5ADB"/>
    <w:rsid w:val="4A0B4FDE"/>
    <w:rsid w:val="4A15325D"/>
    <w:rsid w:val="4A1C51FA"/>
    <w:rsid w:val="4A2117CA"/>
    <w:rsid w:val="4A225C6E"/>
    <w:rsid w:val="4A2D1B99"/>
    <w:rsid w:val="4A343D11"/>
    <w:rsid w:val="4A413C1A"/>
    <w:rsid w:val="4A497D35"/>
    <w:rsid w:val="4A531EB2"/>
    <w:rsid w:val="4A657908"/>
    <w:rsid w:val="4A696D93"/>
    <w:rsid w:val="4A8A37D8"/>
    <w:rsid w:val="4A8B4AB2"/>
    <w:rsid w:val="4A9326C8"/>
    <w:rsid w:val="4AB16FF2"/>
    <w:rsid w:val="4AD9595B"/>
    <w:rsid w:val="4AE53510"/>
    <w:rsid w:val="4AE9678B"/>
    <w:rsid w:val="4AF57D24"/>
    <w:rsid w:val="4AF93EAE"/>
    <w:rsid w:val="4AFC3A3A"/>
    <w:rsid w:val="4B076C12"/>
    <w:rsid w:val="4B09298A"/>
    <w:rsid w:val="4B1650A7"/>
    <w:rsid w:val="4B311212"/>
    <w:rsid w:val="4B3612A5"/>
    <w:rsid w:val="4B3E6720"/>
    <w:rsid w:val="4B43535A"/>
    <w:rsid w:val="4B476348"/>
    <w:rsid w:val="4B625BF7"/>
    <w:rsid w:val="4B752228"/>
    <w:rsid w:val="4B810772"/>
    <w:rsid w:val="4B8464B4"/>
    <w:rsid w:val="4B895879"/>
    <w:rsid w:val="4B8E3DC5"/>
    <w:rsid w:val="4BB21AF4"/>
    <w:rsid w:val="4BB54107"/>
    <w:rsid w:val="4BB67EEE"/>
    <w:rsid w:val="4BD17814"/>
    <w:rsid w:val="4BDC5109"/>
    <w:rsid w:val="4BE84FA7"/>
    <w:rsid w:val="4BF70C92"/>
    <w:rsid w:val="4BFB5105"/>
    <w:rsid w:val="4BFD0513"/>
    <w:rsid w:val="4C005E77"/>
    <w:rsid w:val="4C0D2006"/>
    <w:rsid w:val="4C1A02C6"/>
    <w:rsid w:val="4C2B76C1"/>
    <w:rsid w:val="4C2C2DD4"/>
    <w:rsid w:val="4C5419A1"/>
    <w:rsid w:val="4C5429A3"/>
    <w:rsid w:val="4C645A11"/>
    <w:rsid w:val="4C845B43"/>
    <w:rsid w:val="4C87254B"/>
    <w:rsid w:val="4CBD57DA"/>
    <w:rsid w:val="4CD46FC7"/>
    <w:rsid w:val="4CDE4416"/>
    <w:rsid w:val="4D004DF6"/>
    <w:rsid w:val="4D110FBB"/>
    <w:rsid w:val="4D16313C"/>
    <w:rsid w:val="4D1C2C8C"/>
    <w:rsid w:val="4D1E77BE"/>
    <w:rsid w:val="4D245FC5"/>
    <w:rsid w:val="4D2B3B2C"/>
    <w:rsid w:val="4D40640B"/>
    <w:rsid w:val="4D587BF8"/>
    <w:rsid w:val="4D706CF0"/>
    <w:rsid w:val="4D8046B5"/>
    <w:rsid w:val="4DA62DAA"/>
    <w:rsid w:val="4DA943B0"/>
    <w:rsid w:val="4DC515BB"/>
    <w:rsid w:val="4DCB5984"/>
    <w:rsid w:val="4DD64458"/>
    <w:rsid w:val="4DDD4E1A"/>
    <w:rsid w:val="4DE00A28"/>
    <w:rsid w:val="4DE84AD8"/>
    <w:rsid w:val="4DF548FC"/>
    <w:rsid w:val="4DF55A74"/>
    <w:rsid w:val="4E0D09E3"/>
    <w:rsid w:val="4E135BFA"/>
    <w:rsid w:val="4E1B2DDB"/>
    <w:rsid w:val="4E250E8C"/>
    <w:rsid w:val="4E347D1E"/>
    <w:rsid w:val="4E355E12"/>
    <w:rsid w:val="4E50159D"/>
    <w:rsid w:val="4E5A7AD3"/>
    <w:rsid w:val="4E5D7C3A"/>
    <w:rsid w:val="4E8D762E"/>
    <w:rsid w:val="4E9B1112"/>
    <w:rsid w:val="4EA06365"/>
    <w:rsid w:val="4EA8347A"/>
    <w:rsid w:val="4EBD3915"/>
    <w:rsid w:val="4ECD54B1"/>
    <w:rsid w:val="4ED156ED"/>
    <w:rsid w:val="4ED4046B"/>
    <w:rsid w:val="4EDF4B15"/>
    <w:rsid w:val="4EF43B16"/>
    <w:rsid w:val="4F0E1E8F"/>
    <w:rsid w:val="4F1D6A04"/>
    <w:rsid w:val="4F2B6C13"/>
    <w:rsid w:val="4F3153D3"/>
    <w:rsid w:val="4F5F3ED1"/>
    <w:rsid w:val="4F676F0A"/>
    <w:rsid w:val="4F766114"/>
    <w:rsid w:val="4F7A2656"/>
    <w:rsid w:val="4F804E7C"/>
    <w:rsid w:val="4F833928"/>
    <w:rsid w:val="4F851C22"/>
    <w:rsid w:val="4F85516A"/>
    <w:rsid w:val="4F8B6063"/>
    <w:rsid w:val="4F9071D6"/>
    <w:rsid w:val="4F932AC0"/>
    <w:rsid w:val="4F944D8F"/>
    <w:rsid w:val="4FB21842"/>
    <w:rsid w:val="4FB75BBE"/>
    <w:rsid w:val="4FCA5221"/>
    <w:rsid w:val="4FED0FB9"/>
    <w:rsid w:val="4FF01E38"/>
    <w:rsid w:val="500A342C"/>
    <w:rsid w:val="502F5BB5"/>
    <w:rsid w:val="502F7384"/>
    <w:rsid w:val="50324731"/>
    <w:rsid w:val="50561719"/>
    <w:rsid w:val="5070169B"/>
    <w:rsid w:val="507410D2"/>
    <w:rsid w:val="507E1724"/>
    <w:rsid w:val="50A4392E"/>
    <w:rsid w:val="50A97681"/>
    <w:rsid w:val="50AE3B94"/>
    <w:rsid w:val="50AF7418"/>
    <w:rsid w:val="50BE4216"/>
    <w:rsid w:val="50BE7D72"/>
    <w:rsid w:val="50CA4969"/>
    <w:rsid w:val="50CD10A1"/>
    <w:rsid w:val="50D21A70"/>
    <w:rsid w:val="50D92DFE"/>
    <w:rsid w:val="50E93575"/>
    <w:rsid w:val="50EE4AFC"/>
    <w:rsid w:val="50F04D4E"/>
    <w:rsid w:val="50F57385"/>
    <w:rsid w:val="50F6016F"/>
    <w:rsid w:val="50F97C41"/>
    <w:rsid w:val="50FB1FB9"/>
    <w:rsid w:val="51132FF4"/>
    <w:rsid w:val="51151213"/>
    <w:rsid w:val="513225F9"/>
    <w:rsid w:val="513F5114"/>
    <w:rsid w:val="51440384"/>
    <w:rsid w:val="51532BB1"/>
    <w:rsid w:val="515E6A1B"/>
    <w:rsid w:val="516B705C"/>
    <w:rsid w:val="5177537A"/>
    <w:rsid w:val="518806E3"/>
    <w:rsid w:val="519E53F5"/>
    <w:rsid w:val="51A1217B"/>
    <w:rsid w:val="51A47CAD"/>
    <w:rsid w:val="51AB479B"/>
    <w:rsid w:val="51BC2004"/>
    <w:rsid w:val="51C462A1"/>
    <w:rsid w:val="51C770FB"/>
    <w:rsid w:val="51CB0C5C"/>
    <w:rsid w:val="51CB74F6"/>
    <w:rsid w:val="51D13948"/>
    <w:rsid w:val="51DA0BDC"/>
    <w:rsid w:val="51EB5979"/>
    <w:rsid w:val="5219226D"/>
    <w:rsid w:val="521A0101"/>
    <w:rsid w:val="52241967"/>
    <w:rsid w:val="52263E21"/>
    <w:rsid w:val="52267BB8"/>
    <w:rsid w:val="522851B7"/>
    <w:rsid w:val="522D1CB6"/>
    <w:rsid w:val="523302EC"/>
    <w:rsid w:val="52410C5B"/>
    <w:rsid w:val="52444C58"/>
    <w:rsid w:val="52481FEA"/>
    <w:rsid w:val="524E0600"/>
    <w:rsid w:val="525070F0"/>
    <w:rsid w:val="52595FA5"/>
    <w:rsid w:val="5263075C"/>
    <w:rsid w:val="52660A26"/>
    <w:rsid w:val="52691F60"/>
    <w:rsid w:val="52717995"/>
    <w:rsid w:val="528315FB"/>
    <w:rsid w:val="528738A2"/>
    <w:rsid w:val="52910142"/>
    <w:rsid w:val="52990759"/>
    <w:rsid w:val="529E3DA2"/>
    <w:rsid w:val="529E42FF"/>
    <w:rsid w:val="52B87033"/>
    <w:rsid w:val="52BE5917"/>
    <w:rsid w:val="52ED3633"/>
    <w:rsid w:val="52F766E2"/>
    <w:rsid w:val="53034162"/>
    <w:rsid w:val="530A3743"/>
    <w:rsid w:val="531B72EC"/>
    <w:rsid w:val="531E35FC"/>
    <w:rsid w:val="531E3DBA"/>
    <w:rsid w:val="532B1547"/>
    <w:rsid w:val="532C2C22"/>
    <w:rsid w:val="533E6E17"/>
    <w:rsid w:val="5343182D"/>
    <w:rsid w:val="53552E21"/>
    <w:rsid w:val="53585F18"/>
    <w:rsid w:val="535D3886"/>
    <w:rsid w:val="536621CA"/>
    <w:rsid w:val="536C4A63"/>
    <w:rsid w:val="5370275D"/>
    <w:rsid w:val="539B26A9"/>
    <w:rsid w:val="53A201DA"/>
    <w:rsid w:val="53B22D34"/>
    <w:rsid w:val="53B6236C"/>
    <w:rsid w:val="53BD6F30"/>
    <w:rsid w:val="53FD5056"/>
    <w:rsid w:val="540208BE"/>
    <w:rsid w:val="540540F5"/>
    <w:rsid w:val="540B32CF"/>
    <w:rsid w:val="540C7047"/>
    <w:rsid w:val="541A5C08"/>
    <w:rsid w:val="54231D7C"/>
    <w:rsid w:val="54256C07"/>
    <w:rsid w:val="542913B3"/>
    <w:rsid w:val="543A39C2"/>
    <w:rsid w:val="543F18BA"/>
    <w:rsid w:val="54606BAB"/>
    <w:rsid w:val="54883400"/>
    <w:rsid w:val="54932F58"/>
    <w:rsid w:val="54A243B8"/>
    <w:rsid w:val="54A81CB5"/>
    <w:rsid w:val="54AD6E2A"/>
    <w:rsid w:val="54C41B11"/>
    <w:rsid w:val="54C92123"/>
    <w:rsid w:val="54D45DB6"/>
    <w:rsid w:val="55094F55"/>
    <w:rsid w:val="550E49C6"/>
    <w:rsid w:val="55124B31"/>
    <w:rsid w:val="55160C9A"/>
    <w:rsid w:val="55264138"/>
    <w:rsid w:val="55346855"/>
    <w:rsid w:val="559E0172"/>
    <w:rsid w:val="55A256E3"/>
    <w:rsid w:val="55A47D96"/>
    <w:rsid w:val="55A732F5"/>
    <w:rsid w:val="55C94049"/>
    <w:rsid w:val="55DA287E"/>
    <w:rsid w:val="55DC05B3"/>
    <w:rsid w:val="55DD1819"/>
    <w:rsid w:val="55EE6DAD"/>
    <w:rsid w:val="55F34962"/>
    <w:rsid w:val="56073162"/>
    <w:rsid w:val="5609127C"/>
    <w:rsid w:val="561843C9"/>
    <w:rsid w:val="56243B92"/>
    <w:rsid w:val="56336B0D"/>
    <w:rsid w:val="563D619D"/>
    <w:rsid w:val="56413F2B"/>
    <w:rsid w:val="564C7BCE"/>
    <w:rsid w:val="56537C47"/>
    <w:rsid w:val="5659595B"/>
    <w:rsid w:val="565E627F"/>
    <w:rsid w:val="56625644"/>
    <w:rsid w:val="56A010C0"/>
    <w:rsid w:val="56B96B8E"/>
    <w:rsid w:val="56C747B5"/>
    <w:rsid w:val="56CC3A96"/>
    <w:rsid w:val="56D42684"/>
    <w:rsid w:val="56D76688"/>
    <w:rsid w:val="56DD2471"/>
    <w:rsid w:val="56E01510"/>
    <w:rsid w:val="571974A0"/>
    <w:rsid w:val="57210A6D"/>
    <w:rsid w:val="57387588"/>
    <w:rsid w:val="5744214A"/>
    <w:rsid w:val="574B480A"/>
    <w:rsid w:val="57543081"/>
    <w:rsid w:val="5789649C"/>
    <w:rsid w:val="57A373F0"/>
    <w:rsid w:val="57AF09B6"/>
    <w:rsid w:val="57C83C57"/>
    <w:rsid w:val="57FB2FB4"/>
    <w:rsid w:val="581A61D6"/>
    <w:rsid w:val="582028C2"/>
    <w:rsid w:val="582908A2"/>
    <w:rsid w:val="58382B00"/>
    <w:rsid w:val="583D07DD"/>
    <w:rsid w:val="58490869"/>
    <w:rsid w:val="585A2A77"/>
    <w:rsid w:val="585F1862"/>
    <w:rsid w:val="58620D26"/>
    <w:rsid w:val="58694A68"/>
    <w:rsid w:val="586D00C3"/>
    <w:rsid w:val="58706FB1"/>
    <w:rsid w:val="587C5983"/>
    <w:rsid w:val="588F3D7B"/>
    <w:rsid w:val="58C223CA"/>
    <w:rsid w:val="58E8415E"/>
    <w:rsid w:val="58ED1995"/>
    <w:rsid w:val="58ED4BF9"/>
    <w:rsid w:val="58FB7E18"/>
    <w:rsid w:val="58FF1A45"/>
    <w:rsid w:val="591578E8"/>
    <w:rsid w:val="591C41D0"/>
    <w:rsid w:val="591C580B"/>
    <w:rsid w:val="5926497A"/>
    <w:rsid w:val="59271254"/>
    <w:rsid w:val="592A1893"/>
    <w:rsid w:val="593A27C1"/>
    <w:rsid w:val="593F3A1A"/>
    <w:rsid w:val="595D3E12"/>
    <w:rsid w:val="598D4177"/>
    <w:rsid w:val="59961EFB"/>
    <w:rsid w:val="59964B0E"/>
    <w:rsid w:val="59A11353"/>
    <w:rsid w:val="59B40569"/>
    <w:rsid w:val="59BB5428"/>
    <w:rsid w:val="59CD7278"/>
    <w:rsid w:val="59D16D68"/>
    <w:rsid w:val="59D80DBD"/>
    <w:rsid w:val="59EF3692"/>
    <w:rsid w:val="5A0336C4"/>
    <w:rsid w:val="5A1D0D82"/>
    <w:rsid w:val="5A1F7AD4"/>
    <w:rsid w:val="5A20315B"/>
    <w:rsid w:val="5A3B2D8E"/>
    <w:rsid w:val="5A4C2893"/>
    <w:rsid w:val="5A51593C"/>
    <w:rsid w:val="5A5229A5"/>
    <w:rsid w:val="5A5827FE"/>
    <w:rsid w:val="5A6951F3"/>
    <w:rsid w:val="5A70211C"/>
    <w:rsid w:val="5A9164F8"/>
    <w:rsid w:val="5AA47FD9"/>
    <w:rsid w:val="5AAB2A29"/>
    <w:rsid w:val="5AAB3211"/>
    <w:rsid w:val="5AAC7307"/>
    <w:rsid w:val="5AB86388"/>
    <w:rsid w:val="5ABF41C0"/>
    <w:rsid w:val="5ACA577B"/>
    <w:rsid w:val="5ACE5056"/>
    <w:rsid w:val="5AD07CB2"/>
    <w:rsid w:val="5ADE1CCB"/>
    <w:rsid w:val="5AE37CAA"/>
    <w:rsid w:val="5AEF1DC1"/>
    <w:rsid w:val="5B146A0A"/>
    <w:rsid w:val="5B203F15"/>
    <w:rsid w:val="5B353486"/>
    <w:rsid w:val="5B3A7E78"/>
    <w:rsid w:val="5B3D442E"/>
    <w:rsid w:val="5B412C22"/>
    <w:rsid w:val="5B4B2EB1"/>
    <w:rsid w:val="5B510D60"/>
    <w:rsid w:val="5B570332"/>
    <w:rsid w:val="5B5F0395"/>
    <w:rsid w:val="5B6300A3"/>
    <w:rsid w:val="5B6C0ED6"/>
    <w:rsid w:val="5B6F4CBD"/>
    <w:rsid w:val="5B790B4E"/>
    <w:rsid w:val="5B7A2400"/>
    <w:rsid w:val="5B8C403F"/>
    <w:rsid w:val="5B9B626D"/>
    <w:rsid w:val="5BA762EC"/>
    <w:rsid w:val="5BAA161F"/>
    <w:rsid w:val="5BD32897"/>
    <w:rsid w:val="5BD448EE"/>
    <w:rsid w:val="5BF50A44"/>
    <w:rsid w:val="5BF84A80"/>
    <w:rsid w:val="5C277114"/>
    <w:rsid w:val="5C295CCC"/>
    <w:rsid w:val="5C330FDC"/>
    <w:rsid w:val="5C381A3A"/>
    <w:rsid w:val="5C5C135C"/>
    <w:rsid w:val="5C836F26"/>
    <w:rsid w:val="5C872DAA"/>
    <w:rsid w:val="5C8D7EFB"/>
    <w:rsid w:val="5C974816"/>
    <w:rsid w:val="5CA97228"/>
    <w:rsid w:val="5CB214C2"/>
    <w:rsid w:val="5CBA57BD"/>
    <w:rsid w:val="5CC5471C"/>
    <w:rsid w:val="5CC93515"/>
    <w:rsid w:val="5CDC5386"/>
    <w:rsid w:val="5CE60816"/>
    <w:rsid w:val="5CED3EB9"/>
    <w:rsid w:val="5CEE7B85"/>
    <w:rsid w:val="5CF07506"/>
    <w:rsid w:val="5CF73D69"/>
    <w:rsid w:val="5CFF1E3E"/>
    <w:rsid w:val="5D202057"/>
    <w:rsid w:val="5D2E37A2"/>
    <w:rsid w:val="5D4700C2"/>
    <w:rsid w:val="5D577585"/>
    <w:rsid w:val="5D6C4615"/>
    <w:rsid w:val="5D7C5A81"/>
    <w:rsid w:val="5DB46388"/>
    <w:rsid w:val="5DD31E8F"/>
    <w:rsid w:val="5DDF2196"/>
    <w:rsid w:val="5DF704AE"/>
    <w:rsid w:val="5DF954B7"/>
    <w:rsid w:val="5DFD2403"/>
    <w:rsid w:val="5DFF05CD"/>
    <w:rsid w:val="5E1672C2"/>
    <w:rsid w:val="5E1B6033"/>
    <w:rsid w:val="5E1E5EED"/>
    <w:rsid w:val="5E2612F9"/>
    <w:rsid w:val="5E287173"/>
    <w:rsid w:val="5E2C27BF"/>
    <w:rsid w:val="5E534129"/>
    <w:rsid w:val="5E5835B4"/>
    <w:rsid w:val="5E5F3A74"/>
    <w:rsid w:val="5E6B71BD"/>
    <w:rsid w:val="5E6E3C24"/>
    <w:rsid w:val="5E7255BD"/>
    <w:rsid w:val="5E8819C0"/>
    <w:rsid w:val="5E891521"/>
    <w:rsid w:val="5E937CCC"/>
    <w:rsid w:val="5E9C6226"/>
    <w:rsid w:val="5EB831D6"/>
    <w:rsid w:val="5EBA601D"/>
    <w:rsid w:val="5EF83794"/>
    <w:rsid w:val="5F0173CC"/>
    <w:rsid w:val="5F1A1A93"/>
    <w:rsid w:val="5F1D3030"/>
    <w:rsid w:val="5F287F7E"/>
    <w:rsid w:val="5F374C3D"/>
    <w:rsid w:val="5F3833E6"/>
    <w:rsid w:val="5F4315DF"/>
    <w:rsid w:val="5F475677"/>
    <w:rsid w:val="5F484198"/>
    <w:rsid w:val="5F567498"/>
    <w:rsid w:val="5F6E0BB6"/>
    <w:rsid w:val="5F6F1B70"/>
    <w:rsid w:val="5F7D71F9"/>
    <w:rsid w:val="5F8420E2"/>
    <w:rsid w:val="5F8623A3"/>
    <w:rsid w:val="5F887220"/>
    <w:rsid w:val="5F9022AB"/>
    <w:rsid w:val="5FAA3356"/>
    <w:rsid w:val="5FB81E56"/>
    <w:rsid w:val="5FC209CF"/>
    <w:rsid w:val="5FCB1BCC"/>
    <w:rsid w:val="5FD85FDC"/>
    <w:rsid w:val="5FEA2CB5"/>
    <w:rsid w:val="5FEB78D3"/>
    <w:rsid w:val="5FEC00EE"/>
    <w:rsid w:val="600951D4"/>
    <w:rsid w:val="6010358A"/>
    <w:rsid w:val="60156960"/>
    <w:rsid w:val="601A25EF"/>
    <w:rsid w:val="60250EC1"/>
    <w:rsid w:val="60255718"/>
    <w:rsid w:val="602B2C70"/>
    <w:rsid w:val="60397415"/>
    <w:rsid w:val="603E7832"/>
    <w:rsid w:val="6044067F"/>
    <w:rsid w:val="60481419"/>
    <w:rsid w:val="606A75CF"/>
    <w:rsid w:val="60793AF7"/>
    <w:rsid w:val="6099592B"/>
    <w:rsid w:val="60A13AB9"/>
    <w:rsid w:val="60A7744C"/>
    <w:rsid w:val="60CF04AB"/>
    <w:rsid w:val="60D46471"/>
    <w:rsid w:val="60DB5486"/>
    <w:rsid w:val="60E82C1A"/>
    <w:rsid w:val="60EC0541"/>
    <w:rsid w:val="60FD245E"/>
    <w:rsid w:val="61033EA8"/>
    <w:rsid w:val="610453B8"/>
    <w:rsid w:val="610A1613"/>
    <w:rsid w:val="610B7637"/>
    <w:rsid w:val="610E0DD2"/>
    <w:rsid w:val="611E1B53"/>
    <w:rsid w:val="61251167"/>
    <w:rsid w:val="613170F5"/>
    <w:rsid w:val="61432D9E"/>
    <w:rsid w:val="614623F7"/>
    <w:rsid w:val="615D3929"/>
    <w:rsid w:val="61683AEB"/>
    <w:rsid w:val="618741B1"/>
    <w:rsid w:val="618A70BC"/>
    <w:rsid w:val="618D5E50"/>
    <w:rsid w:val="61963F6D"/>
    <w:rsid w:val="619D39D4"/>
    <w:rsid w:val="61B03707"/>
    <w:rsid w:val="61B5679F"/>
    <w:rsid w:val="61B56F70"/>
    <w:rsid w:val="61BD1F9D"/>
    <w:rsid w:val="61BF394A"/>
    <w:rsid w:val="61C37858"/>
    <w:rsid w:val="61DB394B"/>
    <w:rsid w:val="61EA093B"/>
    <w:rsid w:val="61EA4E6B"/>
    <w:rsid w:val="62024DB4"/>
    <w:rsid w:val="62051CA5"/>
    <w:rsid w:val="62117D72"/>
    <w:rsid w:val="62140656"/>
    <w:rsid w:val="621E68C3"/>
    <w:rsid w:val="62210A89"/>
    <w:rsid w:val="62233ED9"/>
    <w:rsid w:val="62285DB7"/>
    <w:rsid w:val="6245462F"/>
    <w:rsid w:val="624E653B"/>
    <w:rsid w:val="625642AF"/>
    <w:rsid w:val="626857C6"/>
    <w:rsid w:val="626C17E1"/>
    <w:rsid w:val="62764951"/>
    <w:rsid w:val="62923991"/>
    <w:rsid w:val="62950339"/>
    <w:rsid w:val="62966DA1"/>
    <w:rsid w:val="62A3326C"/>
    <w:rsid w:val="62AD5503"/>
    <w:rsid w:val="62BD60DC"/>
    <w:rsid w:val="62C4481D"/>
    <w:rsid w:val="62C622F5"/>
    <w:rsid w:val="62D11B87"/>
    <w:rsid w:val="62D12F65"/>
    <w:rsid w:val="62F20D03"/>
    <w:rsid w:val="62F26EC0"/>
    <w:rsid w:val="62F75B83"/>
    <w:rsid w:val="62FC3643"/>
    <w:rsid w:val="62FF4946"/>
    <w:rsid w:val="6300246C"/>
    <w:rsid w:val="63095375"/>
    <w:rsid w:val="6312135F"/>
    <w:rsid w:val="632A3D0D"/>
    <w:rsid w:val="633443AB"/>
    <w:rsid w:val="63424F7E"/>
    <w:rsid w:val="63510A38"/>
    <w:rsid w:val="6353750E"/>
    <w:rsid w:val="637569B7"/>
    <w:rsid w:val="637F5A87"/>
    <w:rsid w:val="638857E1"/>
    <w:rsid w:val="639E415F"/>
    <w:rsid w:val="63A94039"/>
    <w:rsid w:val="63AA2F6D"/>
    <w:rsid w:val="63AA30D7"/>
    <w:rsid w:val="63AB78F4"/>
    <w:rsid w:val="63C35974"/>
    <w:rsid w:val="63C642C7"/>
    <w:rsid w:val="63C85688"/>
    <w:rsid w:val="63CD5666"/>
    <w:rsid w:val="63D01EF3"/>
    <w:rsid w:val="63D2038C"/>
    <w:rsid w:val="63E15DFA"/>
    <w:rsid w:val="63E631E1"/>
    <w:rsid w:val="63F66CE6"/>
    <w:rsid w:val="640E7E19"/>
    <w:rsid w:val="642503DD"/>
    <w:rsid w:val="64591E34"/>
    <w:rsid w:val="647527CB"/>
    <w:rsid w:val="647C3D75"/>
    <w:rsid w:val="648A0F84"/>
    <w:rsid w:val="648E4974"/>
    <w:rsid w:val="648F4377"/>
    <w:rsid w:val="64994927"/>
    <w:rsid w:val="649E65A7"/>
    <w:rsid w:val="64A532CB"/>
    <w:rsid w:val="64B47494"/>
    <w:rsid w:val="64B70C4D"/>
    <w:rsid w:val="64CF0348"/>
    <w:rsid w:val="64D14920"/>
    <w:rsid w:val="64DC3A26"/>
    <w:rsid w:val="64E114C3"/>
    <w:rsid w:val="64E23632"/>
    <w:rsid w:val="64EA382F"/>
    <w:rsid w:val="64ED3306"/>
    <w:rsid w:val="64F70454"/>
    <w:rsid w:val="65112EA3"/>
    <w:rsid w:val="6511603A"/>
    <w:rsid w:val="652763A9"/>
    <w:rsid w:val="65293EFC"/>
    <w:rsid w:val="653B0F51"/>
    <w:rsid w:val="65434194"/>
    <w:rsid w:val="65477730"/>
    <w:rsid w:val="654912E0"/>
    <w:rsid w:val="654A79CF"/>
    <w:rsid w:val="654F2C5C"/>
    <w:rsid w:val="655A5E64"/>
    <w:rsid w:val="656A4332"/>
    <w:rsid w:val="65733372"/>
    <w:rsid w:val="65744876"/>
    <w:rsid w:val="65772C72"/>
    <w:rsid w:val="657845AE"/>
    <w:rsid w:val="6579224B"/>
    <w:rsid w:val="657C58B7"/>
    <w:rsid w:val="65991D3E"/>
    <w:rsid w:val="659E280B"/>
    <w:rsid w:val="65B74A52"/>
    <w:rsid w:val="65BD55BD"/>
    <w:rsid w:val="65C53449"/>
    <w:rsid w:val="65C77271"/>
    <w:rsid w:val="65F27286"/>
    <w:rsid w:val="65FE2E65"/>
    <w:rsid w:val="6602655A"/>
    <w:rsid w:val="66037BA1"/>
    <w:rsid w:val="660D45C7"/>
    <w:rsid w:val="661D5E7A"/>
    <w:rsid w:val="66280ABB"/>
    <w:rsid w:val="662B0FC4"/>
    <w:rsid w:val="6660394E"/>
    <w:rsid w:val="666717B3"/>
    <w:rsid w:val="6668032B"/>
    <w:rsid w:val="66756CCD"/>
    <w:rsid w:val="667C4290"/>
    <w:rsid w:val="668F4233"/>
    <w:rsid w:val="6692787F"/>
    <w:rsid w:val="669C06FE"/>
    <w:rsid w:val="66A31A8D"/>
    <w:rsid w:val="66A852F5"/>
    <w:rsid w:val="66AB481F"/>
    <w:rsid w:val="66B07D06"/>
    <w:rsid w:val="66B75538"/>
    <w:rsid w:val="66C13CC1"/>
    <w:rsid w:val="66C8504F"/>
    <w:rsid w:val="66C95898"/>
    <w:rsid w:val="66F8201A"/>
    <w:rsid w:val="67010561"/>
    <w:rsid w:val="671C5A04"/>
    <w:rsid w:val="6720245A"/>
    <w:rsid w:val="6739092B"/>
    <w:rsid w:val="673F01D2"/>
    <w:rsid w:val="676777C3"/>
    <w:rsid w:val="677D4B8A"/>
    <w:rsid w:val="67802ACE"/>
    <w:rsid w:val="67804B33"/>
    <w:rsid w:val="67A755AC"/>
    <w:rsid w:val="67C40A09"/>
    <w:rsid w:val="67D020A7"/>
    <w:rsid w:val="67D600B8"/>
    <w:rsid w:val="67E4087E"/>
    <w:rsid w:val="67EC2FBF"/>
    <w:rsid w:val="68060D49"/>
    <w:rsid w:val="680B1B92"/>
    <w:rsid w:val="6821192D"/>
    <w:rsid w:val="682732A7"/>
    <w:rsid w:val="68337E89"/>
    <w:rsid w:val="68337EE8"/>
    <w:rsid w:val="683A6C76"/>
    <w:rsid w:val="683C3F47"/>
    <w:rsid w:val="685C5B46"/>
    <w:rsid w:val="685E6B05"/>
    <w:rsid w:val="68633281"/>
    <w:rsid w:val="686F1486"/>
    <w:rsid w:val="687C4343"/>
    <w:rsid w:val="6888718C"/>
    <w:rsid w:val="688C0656"/>
    <w:rsid w:val="68AE1735"/>
    <w:rsid w:val="68B72950"/>
    <w:rsid w:val="68D60630"/>
    <w:rsid w:val="68E00D76"/>
    <w:rsid w:val="68ED6FEF"/>
    <w:rsid w:val="68F00432"/>
    <w:rsid w:val="68F8555D"/>
    <w:rsid w:val="691D712E"/>
    <w:rsid w:val="6931512E"/>
    <w:rsid w:val="693D7F76"/>
    <w:rsid w:val="69434E61"/>
    <w:rsid w:val="697E7396"/>
    <w:rsid w:val="69A009FE"/>
    <w:rsid w:val="69A729C5"/>
    <w:rsid w:val="69B47B0D"/>
    <w:rsid w:val="69BD10B7"/>
    <w:rsid w:val="69BE2739"/>
    <w:rsid w:val="69BF206E"/>
    <w:rsid w:val="69E46DF1"/>
    <w:rsid w:val="69E8174D"/>
    <w:rsid w:val="69EB7655"/>
    <w:rsid w:val="69F66247"/>
    <w:rsid w:val="69F820EF"/>
    <w:rsid w:val="69F86AAF"/>
    <w:rsid w:val="6A08670B"/>
    <w:rsid w:val="6A0E546F"/>
    <w:rsid w:val="6A1F6154"/>
    <w:rsid w:val="6A2746CC"/>
    <w:rsid w:val="6A4F7CF0"/>
    <w:rsid w:val="6A5517EC"/>
    <w:rsid w:val="6A6634FD"/>
    <w:rsid w:val="6A694BA1"/>
    <w:rsid w:val="6A734205"/>
    <w:rsid w:val="6A804B8C"/>
    <w:rsid w:val="6A8F1913"/>
    <w:rsid w:val="6A995680"/>
    <w:rsid w:val="6ABC3292"/>
    <w:rsid w:val="6ABE0C43"/>
    <w:rsid w:val="6AC04F0B"/>
    <w:rsid w:val="6AD00976"/>
    <w:rsid w:val="6AD34458"/>
    <w:rsid w:val="6AD77F57"/>
    <w:rsid w:val="6ADC4801"/>
    <w:rsid w:val="6ADF25FC"/>
    <w:rsid w:val="6AEF704E"/>
    <w:rsid w:val="6AF01018"/>
    <w:rsid w:val="6AF97ECD"/>
    <w:rsid w:val="6B020CD0"/>
    <w:rsid w:val="6B1148AC"/>
    <w:rsid w:val="6B1E16E2"/>
    <w:rsid w:val="6B27444D"/>
    <w:rsid w:val="6B3929BF"/>
    <w:rsid w:val="6B3E0351"/>
    <w:rsid w:val="6B42449D"/>
    <w:rsid w:val="6B4A5562"/>
    <w:rsid w:val="6B4C26F3"/>
    <w:rsid w:val="6B4D1FC7"/>
    <w:rsid w:val="6B565807"/>
    <w:rsid w:val="6B5925FD"/>
    <w:rsid w:val="6B5B2936"/>
    <w:rsid w:val="6B6537B4"/>
    <w:rsid w:val="6B685053"/>
    <w:rsid w:val="6B7174EC"/>
    <w:rsid w:val="6B7A369F"/>
    <w:rsid w:val="6B7F7893"/>
    <w:rsid w:val="6BA33A98"/>
    <w:rsid w:val="6BAC2823"/>
    <w:rsid w:val="6BBD5024"/>
    <w:rsid w:val="6BF37DF1"/>
    <w:rsid w:val="6BF863D7"/>
    <w:rsid w:val="6C2076DB"/>
    <w:rsid w:val="6C272818"/>
    <w:rsid w:val="6C343972"/>
    <w:rsid w:val="6C5555D7"/>
    <w:rsid w:val="6C630CE9"/>
    <w:rsid w:val="6C727F37"/>
    <w:rsid w:val="6C7A1EA0"/>
    <w:rsid w:val="6C914CAA"/>
    <w:rsid w:val="6CB46277"/>
    <w:rsid w:val="6CB56076"/>
    <w:rsid w:val="6CB57E24"/>
    <w:rsid w:val="6CCC3665"/>
    <w:rsid w:val="6CD34AAD"/>
    <w:rsid w:val="6CEC0F34"/>
    <w:rsid w:val="6CF73CA4"/>
    <w:rsid w:val="6D005FF7"/>
    <w:rsid w:val="6D021C57"/>
    <w:rsid w:val="6D05105B"/>
    <w:rsid w:val="6D207FCD"/>
    <w:rsid w:val="6D280C36"/>
    <w:rsid w:val="6D286C4C"/>
    <w:rsid w:val="6D2B5B01"/>
    <w:rsid w:val="6D350F65"/>
    <w:rsid w:val="6D36363D"/>
    <w:rsid w:val="6D381497"/>
    <w:rsid w:val="6D463172"/>
    <w:rsid w:val="6D6103FD"/>
    <w:rsid w:val="6D632F47"/>
    <w:rsid w:val="6D6A2DB3"/>
    <w:rsid w:val="6D6A69AA"/>
    <w:rsid w:val="6D79127B"/>
    <w:rsid w:val="6D797894"/>
    <w:rsid w:val="6D832281"/>
    <w:rsid w:val="6D87693B"/>
    <w:rsid w:val="6D97577B"/>
    <w:rsid w:val="6DAA1659"/>
    <w:rsid w:val="6DAF51BB"/>
    <w:rsid w:val="6DC237AE"/>
    <w:rsid w:val="6DD218A4"/>
    <w:rsid w:val="6DE07298"/>
    <w:rsid w:val="6DF1132F"/>
    <w:rsid w:val="6DF91502"/>
    <w:rsid w:val="6E01482E"/>
    <w:rsid w:val="6E0D1941"/>
    <w:rsid w:val="6E18292B"/>
    <w:rsid w:val="6E2E0238"/>
    <w:rsid w:val="6E2E4332"/>
    <w:rsid w:val="6E402C35"/>
    <w:rsid w:val="6E403BCF"/>
    <w:rsid w:val="6E424CF7"/>
    <w:rsid w:val="6E5378F4"/>
    <w:rsid w:val="6E562B19"/>
    <w:rsid w:val="6E6506EE"/>
    <w:rsid w:val="6E96703D"/>
    <w:rsid w:val="6E984122"/>
    <w:rsid w:val="6E9A19C7"/>
    <w:rsid w:val="6EB83BFB"/>
    <w:rsid w:val="6EC4761A"/>
    <w:rsid w:val="6ED26905"/>
    <w:rsid w:val="6ED924EF"/>
    <w:rsid w:val="6EE20566"/>
    <w:rsid w:val="6EEB6DD8"/>
    <w:rsid w:val="6EF513F6"/>
    <w:rsid w:val="6F046E40"/>
    <w:rsid w:val="6F084B83"/>
    <w:rsid w:val="6F1F0771"/>
    <w:rsid w:val="6F3669E2"/>
    <w:rsid w:val="6F3A0437"/>
    <w:rsid w:val="6F40631D"/>
    <w:rsid w:val="6F444552"/>
    <w:rsid w:val="6F452492"/>
    <w:rsid w:val="6F4E1ABB"/>
    <w:rsid w:val="6F5953DE"/>
    <w:rsid w:val="6F5C03A9"/>
    <w:rsid w:val="6F653C3E"/>
    <w:rsid w:val="6F65489B"/>
    <w:rsid w:val="6F675D4D"/>
    <w:rsid w:val="6F7E3097"/>
    <w:rsid w:val="6F86274A"/>
    <w:rsid w:val="6F8A6B50"/>
    <w:rsid w:val="6F986715"/>
    <w:rsid w:val="6F9E4E98"/>
    <w:rsid w:val="6FAD1286"/>
    <w:rsid w:val="6FAD525F"/>
    <w:rsid w:val="6FB536E7"/>
    <w:rsid w:val="6FC169C6"/>
    <w:rsid w:val="6FD20CED"/>
    <w:rsid w:val="6FDB4045"/>
    <w:rsid w:val="6FE23626"/>
    <w:rsid w:val="6FEB7EFB"/>
    <w:rsid w:val="700148B1"/>
    <w:rsid w:val="700708F2"/>
    <w:rsid w:val="70262445"/>
    <w:rsid w:val="70473489"/>
    <w:rsid w:val="7054057E"/>
    <w:rsid w:val="7072258D"/>
    <w:rsid w:val="70796EB7"/>
    <w:rsid w:val="70846EFD"/>
    <w:rsid w:val="70891E2B"/>
    <w:rsid w:val="709304FC"/>
    <w:rsid w:val="70AE27E3"/>
    <w:rsid w:val="70B21D55"/>
    <w:rsid w:val="70BA4068"/>
    <w:rsid w:val="70CA396B"/>
    <w:rsid w:val="70CB5E68"/>
    <w:rsid w:val="70F06D61"/>
    <w:rsid w:val="70F36F46"/>
    <w:rsid w:val="70F52EE5"/>
    <w:rsid w:val="7108637B"/>
    <w:rsid w:val="710F68B9"/>
    <w:rsid w:val="71231B23"/>
    <w:rsid w:val="71290D91"/>
    <w:rsid w:val="712A5284"/>
    <w:rsid w:val="71306613"/>
    <w:rsid w:val="713B214A"/>
    <w:rsid w:val="714633CE"/>
    <w:rsid w:val="714A76D4"/>
    <w:rsid w:val="715C3ADF"/>
    <w:rsid w:val="71793333"/>
    <w:rsid w:val="717F6C52"/>
    <w:rsid w:val="718621EE"/>
    <w:rsid w:val="71894FD2"/>
    <w:rsid w:val="718A2007"/>
    <w:rsid w:val="71926986"/>
    <w:rsid w:val="71A3311F"/>
    <w:rsid w:val="71AA4E1C"/>
    <w:rsid w:val="71E13469"/>
    <w:rsid w:val="72005730"/>
    <w:rsid w:val="721E4648"/>
    <w:rsid w:val="72280301"/>
    <w:rsid w:val="7231753D"/>
    <w:rsid w:val="72386C6E"/>
    <w:rsid w:val="723A3057"/>
    <w:rsid w:val="72400885"/>
    <w:rsid w:val="724B6026"/>
    <w:rsid w:val="725273EA"/>
    <w:rsid w:val="725B1897"/>
    <w:rsid w:val="72603689"/>
    <w:rsid w:val="726C47BC"/>
    <w:rsid w:val="726C5429"/>
    <w:rsid w:val="727442DD"/>
    <w:rsid w:val="728E7595"/>
    <w:rsid w:val="72A46970"/>
    <w:rsid w:val="72A70177"/>
    <w:rsid w:val="72CD2240"/>
    <w:rsid w:val="72DC19E2"/>
    <w:rsid w:val="72E871A5"/>
    <w:rsid w:val="72EC4E12"/>
    <w:rsid w:val="72F6484A"/>
    <w:rsid w:val="732B7092"/>
    <w:rsid w:val="73373DED"/>
    <w:rsid w:val="733817AF"/>
    <w:rsid w:val="73391B68"/>
    <w:rsid w:val="733F7A24"/>
    <w:rsid w:val="73571C35"/>
    <w:rsid w:val="735C44F0"/>
    <w:rsid w:val="736A01CD"/>
    <w:rsid w:val="736B4D35"/>
    <w:rsid w:val="73727E21"/>
    <w:rsid w:val="73741988"/>
    <w:rsid w:val="73814929"/>
    <w:rsid w:val="7393399F"/>
    <w:rsid w:val="73984022"/>
    <w:rsid w:val="73B76B77"/>
    <w:rsid w:val="73C11347"/>
    <w:rsid w:val="73C21356"/>
    <w:rsid w:val="73E2421D"/>
    <w:rsid w:val="73F25E01"/>
    <w:rsid w:val="73FA4A43"/>
    <w:rsid w:val="74000D97"/>
    <w:rsid w:val="74185CCF"/>
    <w:rsid w:val="741D2E7E"/>
    <w:rsid w:val="741E1A0A"/>
    <w:rsid w:val="74257F85"/>
    <w:rsid w:val="742A10F7"/>
    <w:rsid w:val="74377094"/>
    <w:rsid w:val="746565D3"/>
    <w:rsid w:val="74694C3B"/>
    <w:rsid w:val="746A6AAD"/>
    <w:rsid w:val="746E74A8"/>
    <w:rsid w:val="747A4FBC"/>
    <w:rsid w:val="7487654A"/>
    <w:rsid w:val="748B466B"/>
    <w:rsid w:val="749018A2"/>
    <w:rsid w:val="74987BF9"/>
    <w:rsid w:val="74C374EF"/>
    <w:rsid w:val="74C72DEA"/>
    <w:rsid w:val="74D94903"/>
    <w:rsid w:val="74DC7834"/>
    <w:rsid w:val="74E271F1"/>
    <w:rsid w:val="7503490D"/>
    <w:rsid w:val="751A59DC"/>
    <w:rsid w:val="752F51BD"/>
    <w:rsid w:val="753136E7"/>
    <w:rsid w:val="75326EC3"/>
    <w:rsid w:val="75461F61"/>
    <w:rsid w:val="75474A77"/>
    <w:rsid w:val="754B57C9"/>
    <w:rsid w:val="754D7793"/>
    <w:rsid w:val="7551327B"/>
    <w:rsid w:val="755550E4"/>
    <w:rsid w:val="755A1EB0"/>
    <w:rsid w:val="755F3E02"/>
    <w:rsid w:val="755F782E"/>
    <w:rsid w:val="7564688B"/>
    <w:rsid w:val="756819EF"/>
    <w:rsid w:val="75A16A9F"/>
    <w:rsid w:val="75A35605"/>
    <w:rsid w:val="75BC6CCF"/>
    <w:rsid w:val="75C630A2"/>
    <w:rsid w:val="75E27D49"/>
    <w:rsid w:val="760E1409"/>
    <w:rsid w:val="76162312"/>
    <w:rsid w:val="761867BE"/>
    <w:rsid w:val="76365AD0"/>
    <w:rsid w:val="764E6F43"/>
    <w:rsid w:val="765D57EA"/>
    <w:rsid w:val="766F7295"/>
    <w:rsid w:val="7688585F"/>
    <w:rsid w:val="769211D6"/>
    <w:rsid w:val="76943AE5"/>
    <w:rsid w:val="76A2766B"/>
    <w:rsid w:val="76E97048"/>
    <w:rsid w:val="76F54CF0"/>
    <w:rsid w:val="76FD5906"/>
    <w:rsid w:val="77072866"/>
    <w:rsid w:val="770B684E"/>
    <w:rsid w:val="770E6AAE"/>
    <w:rsid w:val="771D50F3"/>
    <w:rsid w:val="771F6F0D"/>
    <w:rsid w:val="77204CB1"/>
    <w:rsid w:val="77356662"/>
    <w:rsid w:val="775F421B"/>
    <w:rsid w:val="776668EA"/>
    <w:rsid w:val="777C1603"/>
    <w:rsid w:val="777D1E86"/>
    <w:rsid w:val="77814A03"/>
    <w:rsid w:val="77A14CDE"/>
    <w:rsid w:val="77AA2F7D"/>
    <w:rsid w:val="77BE04D4"/>
    <w:rsid w:val="77C96BD3"/>
    <w:rsid w:val="77D17C4B"/>
    <w:rsid w:val="77E616E5"/>
    <w:rsid w:val="77F263D0"/>
    <w:rsid w:val="78266CE5"/>
    <w:rsid w:val="7827421F"/>
    <w:rsid w:val="782B4A23"/>
    <w:rsid w:val="78302F8F"/>
    <w:rsid w:val="784117AB"/>
    <w:rsid w:val="78510397"/>
    <w:rsid w:val="78552936"/>
    <w:rsid w:val="78731F0E"/>
    <w:rsid w:val="78754CBA"/>
    <w:rsid w:val="78922723"/>
    <w:rsid w:val="789456D9"/>
    <w:rsid w:val="78962FA5"/>
    <w:rsid w:val="78AA0A59"/>
    <w:rsid w:val="78C148AC"/>
    <w:rsid w:val="78C53AE4"/>
    <w:rsid w:val="78CA1FEE"/>
    <w:rsid w:val="78CB3FEB"/>
    <w:rsid w:val="78CE219D"/>
    <w:rsid w:val="78CF04BF"/>
    <w:rsid w:val="79053EE1"/>
    <w:rsid w:val="793B5CE2"/>
    <w:rsid w:val="794762A8"/>
    <w:rsid w:val="794C1437"/>
    <w:rsid w:val="795C411F"/>
    <w:rsid w:val="796834B3"/>
    <w:rsid w:val="797B3C8A"/>
    <w:rsid w:val="797F45FC"/>
    <w:rsid w:val="79970647"/>
    <w:rsid w:val="79A81CC2"/>
    <w:rsid w:val="79C97604"/>
    <w:rsid w:val="79D9682C"/>
    <w:rsid w:val="79DB75C0"/>
    <w:rsid w:val="79E37881"/>
    <w:rsid w:val="79E4486C"/>
    <w:rsid w:val="79EA2E0E"/>
    <w:rsid w:val="79ED08FA"/>
    <w:rsid w:val="79ED6E4F"/>
    <w:rsid w:val="7A044199"/>
    <w:rsid w:val="7A067AFA"/>
    <w:rsid w:val="7A0C585A"/>
    <w:rsid w:val="7A0D5743"/>
    <w:rsid w:val="7A2C7450"/>
    <w:rsid w:val="7A326B5A"/>
    <w:rsid w:val="7A553725"/>
    <w:rsid w:val="7A616D0A"/>
    <w:rsid w:val="7A6F1F5A"/>
    <w:rsid w:val="7A715CD2"/>
    <w:rsid w:val="7A7F2C76"/>
    <w:rsid w:val="7A990D85"/>
    <w:rsid w:val="7AA716F4"/>
    <w:rsid w:val="7AAC462A"/>
    <w:rsid w:val="7ABC15CC"/>
    <w:rsid w:val="7AF84FA0"/>
    <w:rsid w:val="7AF909C6"/>
    <w:rsid w:val="7B022443"/>
    <w:rsid w:val="7B2014A6"/>
    <w:rsid w:val="7B4C2104"/>
    <w:rsid w:val="7B6273C9"/>
    <w:rsid w:val="7B6A44CF"/>
    <w:rsid w:val="7B6F1BD0"/>
    <w:rsid w:val="7B732126"/>
    <w:rsid w:val="7B755C15"/>
    <w:rsid w:val="7B7B20CE"/>
    <w:rsid w:val="7B8E1216"/>
    <w:rsid w:val="7B9A1345"/>
    <w:rsid w:val="7BC11BB3"/>
    <w:rsid w:val="7BC36A67"/>
    <w:rsid w:val="7BC4600E"/>
    <w:rsid w:val="7BCA6C86"/>
    <w:rsid w:val="7BDF6C6B"/>
    <w:rsid w:val="7BF42D23"/>
    <w:rsid w:val="7BFF2E69"/>
    <w:rsid w:val="7C003703"/>
    <w:rsid w:val="7C044924"/>
    <w:rsid w:val="7C044DA1"/>
    <w:rsid w:val="7C084243"/>
    <w:rsid w:val="7C0861C2"/>
    <w:rsid w:val="7C224DAA"/>
    <w:rsid w:val="7C2942B5"/>
    <w:rsid w:val="7C365DE1"/>
    <w:rsid w:val="7C5112EB"/>
    <w:rsid w:val="7C6453C2"/>
    <w:rsid w:val="7CA33449"/>
    <w:rsid w:val="7CB93F8B"/>
    <w:rsid w:val="7CBF7B20"/>
    <w:rsid w:val="7CC876FF"/>
    <w:rsid w:val="7CCE4D69"/>
    <w:rsid w:val="7CF95B0B"/>
    <w:rsid w:val="7D050953"/>
    <w:rsid w:val="7D0A0BA4"/>
    <w:rsid w:val="7D107AF3"/>
    <w:rsid w:val="7D1307C6"/>
    <w:rsid w:val="7D24527D"/>
    <w:rsid w:val="7D3E3E65"/>
    <w:rsid w:val="7D4253C7"/>
    <w:rsid w:val="7D492008"/>
    <w:rsid w:val="7D4C5341"/>
    <w:rsid w:val="7D4E5EE6"/>
    <w:rsid w:val="7D5A0C9F"/>
    <w:rsid w:val="7D5F62B6"/>
    <w:rsid w:val="7D87580C"/>
    <w:rsid w:val="7D8901AD"/>
    <w:rsid w:val="7D8E577D"/>
    <w:rsid w:val="7D9A426A"/>
    <w:rsid w:val="7DD00A7F"/>
    <w:rsid w:val="7DED3C92"/>
    <w:rsid w:val="7E006F08"/>
    <w:rsid w:val="7E01736D"/>
    <w:rsid w:val="7E333E03"/>
    <w:rsid w:val="7E391FE6"/>
    <w:rsid w:val="7E916762"/>
    <w:rsid w:val="7EA45F4A"/>
    <w:rsid w:val="7EA916FD"/>
    <w:rsid w:val="7EAB552B"/>
    <w:rsid w:val="7EE53C64"/>
    <w:rsid w:val="7F030EC3"/>
    <w:rsid w:val="7F541580"/>
    <w:rsid w:val="7F590594"/>
    <w:rsid w:val="7F667225"/>
    <w:rsid w:val="7F7B2EF8"/>
    <w:rsid w:val="7F7C7C94"/>
    <w:rsid w:val="7F844A6E"/>
    <w:rsid w:val="7F932247"/>
    <w:rsid w:val="7F98785D"/>
    <w:rsid w:val="7FAA1C29"/>
    <w:rsid w:val="7FAC4830"/>
    <w:rsid w:val="7FB659E5"/>
    <w:rsid w:val="7FB7407D"/>
    <w:rsid w:val="7FE24F7C"/>
    <w:rsid w:val="7FE900B8"/>
    <w:rsid w:val="7FEF65CD"/>
    <w:rsid w:val="7FF06812"/>
    <w:rsid w:val="7FF337B8"/>
    <w:rsid w:val="7FF61AD5"/>
    <w:rsid w:val="7FF627D5"/>
    <w:rsid w:val="7FF76C7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eastAsia="宋体"/>
      <w:kern w:val="2"/>
      <w:sz w:val="21"/>
      <w:szCs w:val="24"/>
      <w:lang w:val="en-US" w:eastAsia="zh-CN" w:bidi="ar-SA"/>
    </w:rPr>
  </w:style>
  <w:style w:type="paragraph" w:styleId="6">
    <w:name w:val="Body Text 3"/>
    <w:basedOn w:val="1"/>
    <w:qFormat/>
    <w:uiPriority w:val="0"/>
    <w:rPr>
      <w:rFonts w:ascii="宋体"/>
      <w:sz w:val="24"/>
      <w:szCs w:val="20"/>
    </w:rPr>
  </w:style>
  <w:style w:type="paragraph" w:styleId="7">
    <w:name w:val="Body Text"/>
    <w:basedOn w:val="1"/>
    <w:qFormat/>
    <w:uiPriority w:val="0"/>
    <w:pPr>
      <w:spacing w:after="120"/>
    </w:pPr>
  </w:style>
  <w:style w:type="paragraph" w:styleId="8">
    <w:name w:val="Body Text Indent"/>
    <w:basedOn w:val="1"/>
    <w:qFormat/>
    <w:uiPriority w:val="0"/>
    <w:pPr>
      <w:spacing w:after="120" w:afterLines="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semiHidden/>
    <w:qFormat/>
    <w:uiPriority w:val="0"/>
    <w:pPr>
      <w:spacing w:line="440" w:lineRule="exact"/>
      <w:jc w:val="center"/>
    </w:pPr>
  </w:style>
  <w:style w:type="paragraph" w:styleId="13">
    <w:name w:val="HTML Preformatted"/>
    <w:basedOn w:val="1"/>
    <w:qFormat/>
    <w:uiPriority w:val="0"/>
    <w:pPr>
      <w:jc w:val="left"/>
    </w:pPr>
    <w:rPr>
      <w:rFonts w:hint="eastAsia" w:ascii="宋体" w:hAnsi="宋体"/>
      <w:kern w:val="0"/>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7"/>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customStyle="1" w:styleId="2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2">
    <w:name w:val="5正文"/>
    <w:qFormat/>
    <w:uiPriority w:val="0"/>
    <w:pPr>
      <w:spacing w:after="200" w:line="360" w:lineRule="auto"/>
      <w:ind w:right="210" w:rightChars="100"/>
    </w:pPr>
    <w:rPr>
      <w:rFonts w:ascii="Calibri" w:hAnsi="Calibri" w:eastAsia="仿宋_GB2312" w:cs="Times New Roman"/>
      <w:sz w:val="24"/>
      <w:szCs w:val="21"/>
      <w:lang w:val="en-US" w:eastAsia="zh-CN" w:bidi="ar-SA"/>
    </w:rPr>
  </w:style>
  <w:style w:type="paragraph" w:customStyle="1" w:styleId="23">
    <w:name w:val="列出段落1"/>
    <w:basedOn w:val="1"/>
    <w:qFormat/>
    <w:uiPriority w:val="34"/>
    <w:pPr>
      <w:ind w:firstLine="420" w:firstLineChars="200"/>
    </w:pPr>
  </w:style>
  <w:style w:type="character" w:customStyle="1" w:styleId="24">
    <w:name w:val="font11"/>
    <w:basedOn w:val="18"/>
    <w:qFormat/>
    <w:uiPriority w:val="0"/>
    <w:rPr>
      <w:rFonts w:ascii="Calibri" w:hAnsi="Calibri" w:cs="Calibri"/>
      <w:color w:val="000000"/>
      <w:sz w:val="21"/>
      <w:szCs w:val="21"/>
      <w:u w:val="none"/>
    </w:rPr>
  </w:style>
  <w:style w:type="character" w:customStyle="1" w:styleId="25">
    <w:name w:val="font21"/>
    <w:basedOn w:val="18"/>
    <w:qFormat/>
    <w:uiPriority w:val="0"/>
    <w:rPr>
      <w:rFonts w:hint="eastAsia" w:ascii="宋体" w:hAnsi="宋体" w:eastAsia="宋体" w:cs="宋体"/>
      <w:color w:val="000000"/>
      <w:sz w:val="21"/>
      <w:szCs w:val="21"/>
      <w:u w:val="none"/>
    </w:rPr>
  </w:style>
  <w:style w:type="character" w:customStyle="1" w:styleId="26">
    <w:name w:val="font01"/>
    <w:basedOn w:val="18"/>
    <w:qFormat/>
    <w:uiPriority w:val="0"/>
    <w:rPr>
      <w:rFonts w:ascii="Calibri" w:hAnsi="Calibri" w:cs="Calibri"/>
      <w:color w:val="000000"/>
      <w:sz w:val="21"/>
      <w:szCs w:val="21"/>
      <w:u w:val="none"/>
    </w:rPr>
  </w:style>
  <w:style w:type="character" w:customStyle="1" w:styleId="27">
    <w:name w:val="font31"/>
    <w:basedOn w:val="18"/>
    <w:qFormat/>
    <w:uiPriority w:val="0"/>
    <w:rPr>
      <w:rFonts w:hint="default" w:ascii="Calibri" w:hAnsi="Calibri" w:cs="Calibri"/>
      <w:color w:val="000000"/>
      <w:sz w:val="21"/>
      <w:szCs w:val="21"/>
      <w:u w:val="none"/>
    </w:rPr>
  </w:style>
  <w:style w:type="paragraph" w:customStyle="1" w:styleId="28">
    <w:name w:val="Table Paragraph"/>
    <w:basedOn w:val="1"/>
    <w:qFormat/>
    <w:uiPriority w:val="1"/>
    <w:rPr>
      <w:rFonts w:ascii="宋体" w:hAnsi="宋体" w:eastAsia="宋体" w:cs="宋体"/>
    </w:rPr>
  </w:style>
  <w:style w:type="paragraph" w:customStyle="1" w:styleId="29">
    <w:name w:val="Table Text"/>
    <w:basedOn w:val="1"/>
    <w:semiHidden/>
    <w:qFormat/>
    <w:uiPriority w:val="0"/>
    <w:rPr>
      <w:rFonts w:ascii="宋体" w:hAnsi="宋体" w:eastAsia="宋体" w:cs="宋体"/>
      <w:sz w:val="21"/>
      <w:szCs w:val="21"/>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14134</Words>
  <Characters>15086</Characters>
  <Lines>0</Lines>
  <Paragraphs>0</Paragraphs>
  <TotalTime>11</TotalTime>
  <ScaleCrop>false</ScaleCrop>
  <LinksUpToDate>false</LinksUpToDate>
  <CharactersWithSpaces>15236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48323</dc:creator>
  <cp:lastModifiedBy>꧁小才的犄角旮旯꧂</cp:lastModifiedBy>
  <cp:lastPrinted>2026-04-23T00:18:00Z</cp:lastPrinted>
  <dcterms:modified xsi:type="dcterms:W3CDTF">2026-05-06T00:59:11Z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3DC1C1C5EC6741F69426F536341F9981</vt:lpwstr>
  </property>
  <property fmtid="{D5CDD505-2E9C-101B-9397-08002B2CF9AE}" pid="4" name="KSOTemplateDocerSaveRecord">
    <vt:lpwstr>eyJoZGlkIjoiM2Y2YWQwZmQwYTk0YzMxZDE0NDM4NTZjN2RkMjdlYzYiLCJ1c2VySWQiOiI1NTMyMjQzNDEifQ==</vt:lpwstr>
  </property>
</Properties>
</file>